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9D9D5">
      <w:pPr>
        <w:pStyle w:val="7"/>
        <w:spacing w:line="560" w:lineRule="exact"/>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14:paraId="477E5981">
      <w:pPr>
        <w:rPr>
          <w:rFonts w:hint="eastAsia"/>
          <w:lang w:val="en-US" w:eastAsia="zh-CN"/>
        </w:rPr>
      </w:pPr>
    </w:p>
    <w:p w14:paraId="44B87338">
      <w:pPr>
        <w:pStyle w:val="7"/>
        <w:spacing w:line="560" w:lineRule="exact"/>
        <w:jc w:val="center"/>
        <w:rPr>
          <w:rFonts w:hint="default"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广西民族艺术宫西面扶梯设备更新项目招标代理服务采购文件</w:t>
      </w:r>
    </w:p>
    <w:p w14:paraId="539A2096">
      <w:pPr>
        <w:pStyle w:val="15"/>
        <w:spacing w:before="0" w:after="0" w:line="560" w:lineRule="exact"/>
        <w:ind w:firstLine="640" w:firstLineChars="200"/>
        <w:jc w:val="both"/>
        <w:rPr>
          <w:rFonts w:hint="eastAsia" w:asciiTheme="minorEastAsia" w:hAnsiTheme="minorEastAsia" w:eastAsiaTheme="minorEastAsia" w:cstheme="minorEastAsia"/>
          <w:b w:val="0"/>
          <w:bCs w:val="0"/>
          <w:sz w:val="32"/>
          <w:szCs w:val="32"/>
          <w:lang w:val="en-US" w:eastAsia="zh-CN"/>
        </w:rPr>
      </w:pPr>
      <w:r>
        <w:rPr>
          <w:rFonts w:hint="eastAsia" w:asciiTheme="minorEastAsia" w:hAnsiTheme="minorEastAsia" w:eastAsiaTheme="minorEastAsia" w:cstheme="minorEastAsia"/>
          <w:b w:val="0"/>
          <w:bCs w:val="0"/>
          <w:sz w:val="32"/>
          <w:szCs w:val="32"/>
          <w:lang w:val="en-US" w:eastAsia="zh-CN"/>
        </w:rPr>
        <w:t>我公司计划择优选择一家招标代理机构为广西民族艺</w:t>
      </w:r>
      <w:bookmarkStart w:id="0" w:name="_GoBack"/>
      <w:bookmarkEnd w:id="0"/>
      <w:r>
        <w:rPr>
          <w:rFonts w:hint="eastAsia" w:asciiTheme="minorEastAsia" w:hAnsiTheme="minorEastAsia" w:eastAsiaTheme="minorEastAsia" w:cstheme="minorEastAsia"/>
          <w:b w:val="0"/>
          <w:bCs w:val="0"/>
          <w:sz w:val="32"/>
          <w:szCs w:val="32"/>
          <w:lang w:val="en-US" w:eastAsia="zh-CN"/>
        </w:rPr>
        <w:t>术宫西面扶梯设备更新项目提供招标代理服务。采购项目情况如下：</w:t>
      </w:r>
    </w:p>
    <w:p w14:paraId="2AD32CE2">
      <w:pPr>
        <w:rPr>
          <w:rFonts w:hint="eastAsia"/>
        </w:rPr>
      </w:pPr>
    </w:p>
    <w:tbl>
      <w:tblPr>
        <w:tblStyle w:val="17"/>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871"/>
        <w:gridCol w:w="7185"/>
      </w:tblGrid>
      <w:tr w14:paraId="4462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644" w:type="dxa"/>
            <w:noWrap w:val="0"/>
            <w:vAlign w:val="center"/>
          </w:tcPr>
          <w:p w14:paraId="60BF5062">
            <w:pPr>
              <w:pStyle w:val="8"/>
              <w:spacing w:line="420" w:lineRule="exact"/>
              <w:jc w:val="center"/>
              <w:rPr>
                <w:rFonts w:hAnsi="宋体"/>
                <w:color w:val="auto"/>
                <w:szCs w:val="21"/>
                <w:highlight w:val="none"/>
              </w:rPr>
            </w:pPr>
            <w:r>
              <w:rPr>
                <w:rFonts w:hint="eastAsia" w:hAnsi="宋体"/>
                <w:color w:val="auto"/>
                <w:szCs w:val="21"/>
                <w:highlight w:val="none"/>
              </w:rPr>
              <w:t>序号</w:t>
            </w:r>
          </w:p>
        </w:tc>
        <w:tc>
          <w:tcPr>
            <w:tcW w:w="1871" w:type="dxa"/>
            <w:noWrap w:val="0"/>
            <w:vAlign w:val="center"/>
          </w:tcPr>
          <w:p w14:paraId="1CBB1109">
            <w:pPr>
              <w:pStyle w:val="8"/>
              <w:spacing w:line="420" w:lineRule="exact"/>
              <w:jc w:val="center"/>
              <w:rPr>
                <w:rFonts w:hAnsi="宋体"/>
                <w:color w:val="auto"/>
                <w:szCs w:val="21"/>
                <w:highlight w:val="none"/>
              </w:rPr>
            </w:pPr>
            <w:r>
              <w:rPr>
                <w:rFonts w:hint="eastAsia" w:hAnsi="宋体"/>
                <w:color w:val="auto"/>
                <w:szCs w:val="21"/>
                <w:highlight w:val="none"/>
              </w:rPr>
              <w:t>条款名称</w:t>
            </w:r>
          </w:p>
        </w:tc>
        <w:tc>
          <w:tcPr>
            <w:tcW w:w="7185" w:type="dxa"/>
            <w:noWrap w:val="0"/>
            <w:vAlign w:val="center"/>
          </w:tcPr>
          <w:p w14:paraId="00F7CC99">
            <w:pPr>
              <w:pStyle w:val="8"/>
              <w:spacing w:line="420" w:lineRule="exact"/>
              <w:ind w:firstLine="2951" w:firstLineChars="1400"/>
              <w:rPr>
                <w:rFonts w:hAnsi="宋体"/>
                <w:b/>
                <w:color w:val="auto"/>
                <w:szCs w:val="21"/>
                <w:highlight w:val="none"/>
              </w:rPr>
            </w:pPr>
            <w:r>
              <w:rPr>
                <w:rFonts w:hint="eastAsia" w:hAnsi="宋体"/>
                <w:b/>
                <w:color w:val="auto"/>
                <w:szCs w:val="21"/>
                <w:highlight w:val="none"/>
              </w:rPr>
              <w:t>内容、要求</w:t>
            </w:r>
          </w:p>
        </w:tc>
      </w:tr>
      <w:tr w14:paraId="7333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44" w:type="dxa"/>
            <w:noWrap w:val="0"/>
            <w:vAlign w:val="center"/>
          </w:tcPr>
          <w:p w14:paraId="53F1F033">
            <w:pPr>
              <w:pStyle w:val="8"/>
              <w:spacing w:line="42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p>
        </w:tc>
        <w:tc>
          <w:tcPr>
            <w:tcW w:w="1871" w:type="dxa"/>
            <w:noWrap w:val="0"/>
            <w:vAlign w:val="center"/>
          </w:tcPr>
          <w:p w14:paraId="4A17D54E">
            <w:pPr>
              <w:pStyle w:val="8"/>
              <w:spacing w:line="42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项目名称</w:t>
            </w:r>
          </w:p>
        </w:tc>
        <w:tc>
          <w:tcPr>
            <w:tcW w:w="7185" w:type="dxa"/>
            <w:noWrap w:val="0"/>
            <w:vAlign w:val="center"/>
          </w:tcPr>
          <w:p w14:paraId="3946000C">
            <w:pPr>
              <w:spacing w:line="440" w:lineRule="exact"/>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广西民族艺术宫</w:t>
            </w:r>
            <w:r>
              <w:rPr>
                <w:rFonts w:hint="eastAsia" w:ascii="宋体" w:hAnsi="宋体" w:cs="宋体"/>
                <w:color w:val="auto"/>
                <w:szCs w:val="21"/>
                <w:highlight w:val="none"/>
                <w:lang w:val="en-US" w:eastAsia="zh-CN"/>
              </w:rPr>
              <w:t>西面扶梯</w:t>
            </w:r>
            <w:r>
              <w:rPr>
                <w:rFonts w:hint="eastAsia" w:ascii="宋体" w:hAnsi="宋体" w:eastAsia="宋体" w:cs="宋体"/>
                <w:color w:val="auto"/>
                <w:szCs w:val="21"/>
                <w:highlight w:val="none"/>
                <w:lang w:val="en-US" w:eastAsia="zh-CN"/>
              </w:rPr>
              <w:t>设备更新项目招标代理服务</w:t>
            </w:r>
          </w:p>
        </w:tc>
      </w:tr>
      <w:tr w14:paraId="135F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44" w:type="dxa"/>
            <w:noWrap w:val="0"/>
            <w:vAlign w:val="center"/>
          </w:tcPr>
          <w:p w14:paraId="15AD8270">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1871" w:type="dxa"/>
            <w:noWrap w:val="0"/>
            <w:vAlign w:val="center"/>
          </w:tcPr>
          <w:p w14:paraId="74BA28EE">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采购人名称</w:t>
            </w:r>
          </w:p>
        </w:tc>
        <w:tc>
          <w:tcPr>
            <w:tcW w:w="7185" w:type="dxa"/>
            <w:noWrap w:val="0"/>
            <w:vAlign w:val="center"/>
          </w:tcPr>
          <w:p w14:paraId="65159D27">
            <w:pPr>
              <w:spacing w:line="34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广西国宏经济发展集团有限公司</w:t>
            </w:r>
          </w:p>
        </w:tc>
      </w:tr>
      <w:tr w14:paraId="034B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4" w:type="dxa"/>
            <w:noWrap w:val="0"/>
            <w:vAlign w:val="center"/>
          </w:tcPr>
          <w:p w14:paraId="492CF83A">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p>
        </w:tc>
        <w:tc>
          <w:tcPr>
            <w:tcW w:w="1871" w:type="dxa"/>
            <w:noWrap w:val="0"/>
            <w:vAlign w:val="center"/>
          </w:tcPr>
          <w:p w14:paraId="2691916F">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项目类别</w:t>
            </w:r>
          </w:p>
        </w:tc>
        <w:tc>
          <w:tcPr>
            <w:tcW w:w="7185" w:type="dxa"/>
            <w:noWrap w:val="0"/>
            <w:vAlign w:val="center"/>
          </w:tcPr>
          <w:p w14:paraId="02103504">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服务</w:t>
            </w:r>
          </w:p>
        </w:tc>
      </w:tr>
      <w:tr w14:paraId="1FA6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44" w:type="dxa"/>
            <w:noWrap w:val="0"/>
            <w:vAlign w:val="center"/>
          </w:tcPr>
          <w:p w14:paraId="5CB68DCB">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p>
        </w:tc>
        <w:tc>
          <w:tcPr>
            <w:tcW w:w="1871" w:type="dxa"/>
            <w:noWrap w:val="0"/>
            <w:vAlign w:val="center"/>
          </w:tcPr>
          <w:p w14:paraId="40FA4D53">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采购方式</w:t>
            </w:r>
          </w:p>
        </w:tc>
        <w:tc>
          <w:tcPr>
            <w:tcW w:w="7185" w:type="dxa"/>
            <w:noWrap w:val="0"/>
            <w:vAlign w:val="center"/>
          </w:tcPr>
          <w:p w14:paraId="7596D7D5">
            <w:pPr>
              <w:spacing w:line="34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询比</w:t>
            </w:r>
            <w:r>
              <w:rPr>
                <w:rFonts w:hint="eastAsia" w:ascii="宋体" w:hAnsi="宋体" w:cs="宋体"/>
                <w:b w:val="0"/>
                <w:bCs w:val="0"/>
                <w:color w:val="auto"/>
                <w:sz w:val="21"/>
                <w:szCs w:val="21"/>
                <w:highlight w:val="none"/>
                <w:lang w:val="en-US" w:eastAsia="zh-CN"/>
              </w:rPr>
              <w:t>采购（综合评分法）</w:t>
            </w:r>
          </w:p>
        </w:tc>
      </w:tr>
      <w:tr w14:paraId="429E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644" w:type="dxa"/>
            <w:noWrap w:val="0"/>
            <w:vAlign w:val="center"/>
          </w:tcPr>
          <w:p w14:paraId="6CED43D6">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w:t>
            </w:r>
          </w:p>
        </w:tc>
        <w:tc>
          <w:tcPr>
            <w:tcW w:w="1871" w:type="dxa"/>
            <w:noWrap w:val="0"/>
            <w:vAlign w:val="center"/>
          </w:tcPr>
          <w:p w14:paraId="58F92E19">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项目</w:t>
            </w:r>
            <w:r>
              <w:rPr>
                <w:rFonts w:hint="eastAsia" w:ascii="宋体" w:hAnsi="宋体" w:eastAsia="宋体" w:cs="宋体"/>
                <w:b w:val="0"/>
                <w:bCs w:val="0"/>
                <w:color w:val="auto"/>
                <w:sz w:val="21"/>
                <w:szCs w:val="21"/>
                <w:highlight w:val="none"/>
              </w:rPr>
              <w:t>内容</w:t>
            </w:r>
            <w:r>
              <w:rPr>
                <w:rFonts w:hint="eastAsia" w:ascii="宋体" w:hAnsi="宋体" w:eastAsia="宋体" w:cs="宋体"/>
                <w:b w:val="0"/>
                <w:bCs w:val="0"/>
                <w:color w:val="auto"/>
                <w:sz w:val="21"/>
                <w:szCs w:val="21"/>
                <w:highlight w:val="none"/>
                <w:lang w:val="en-US" w:eastAsia="zh-CN"/>
              </w:rPr>
              <w:t>及采购需求</w:t>
            </w:r>
          </w:p>
        </w:tc>
        <w:tc>
          <w:tcPr>
            <w:tcW w:w="7185" w:type="dxa"/>
            <w:noWrap w:val="0"/>
            <w:vAlign w:val="center"/>
          </w:tcPr>
          <w:p w14:paraId="6878A11B">
            <w:pPr>
              <w:spacing w:line="34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采购人委托本项目成交人提供公开招标代理服务，为采购人广西民族艺术宫</w:t>
            </w:r>
            <w:r>
              <w:rPr>
                <w:rFonts w:hint="eastAsia" w:ascii="宋体" w:hAnsi="宋体" w:cs="宋体"/>
                <w:b w:val="0"/>
                <w:bCs w:val="0"/>
                <w:color w:val="auto"/>
                <w:sz w:val="21"/>
                <w:szCs w:val="21"/>
                <w:highlight w:val="none"/>
                <w:lang w:val="en-US" w:eastAsia="zh-CN"/>
              </w:rPr>
              <w:t>西面扶梯</w:t>
            </w:r>
            <w:r>
              <w:rPr>
                <w:rFonts w:hint="eastAsia" w:ascii="宋体" w:hAnsi="宋体" w:eastAsia="宋体" w:cs="宋体"/>
                <w:b w:val="0"/>
                <w:bCs w:val="0"/>
                <w:color w:val="auto"/>
                <w:sz w:val="21"/>
                <w:szCs w:val="21"/>
                <w:highlight w:val="none"/>
                <w:lang w:val="en-US" w:eastAsia="zh-CN"/>
              </w:rPr>
              <w:t>设备更新项目</w:t>
            </w:r>
            <w:r>
              <w:rPr>
                <w:rFonts w:hint="eastAsia" w:ascii="宋体" w:hAnsi="宋体" w:eastAsia="宋体" w:cs="宋体"/>
                <w:color w:val="auto"/>
                <w:szCs w:val="21"/>
                <w:highlight w:val="none"/>
                <w:lang w:val="en-US" w:eastAsia="zh-CN"/>
              </w:rPr>
              <w:t>（以下简称招标项目）</w:t>
            </w:r>
            <w:r>
              <w:rPr>
                <w:rFonts w:hint="eastAsia" w:ascii="宋体" w:hAnsi="宋体" w:eastAsia="宋体" w:cs="宋体"/>
                <w:b w:val="0"/>
                <w:bCs w:val="0"/>
                <w:color w:val="auto"/>
                <w:sz w:val="21"/>
                <w:szCs w:val="21"/>
                <w:highlight w:val="none"/>
                <w:lang w:val="en-US" w:eastAsia="zh-CN"/>
              </w:rPr>
              <w:t>组织</w:t>
            </w:r>
            <w:r>
              <w:rPr>
                <w:rFonts w:hint="eastAsia" w:ascii="宋体" w:hAnsi="宋体" w:cs="宋体"/>
                <w:b w:val="0"/>
                <w:bCs w:val="0"/>
                <w:color w:val="auto"/>
                <w:sz w:val="21"/>
                <w:szCs w:val="21"/>
                <w:highlight w:val="none"/>
                <w:lang w:val="en-US" w:eastAsia="zh-CN"/>
              </w:rPr>
              <w:t>招标采购活动。招标项目预算156万元，招标项目拟采用总价承包方式进行，中标人负责</w:t>
            </w:r>
            <w:r>
              <w:rPr>
                <w:rFonts w:hint="eastAsia" w:ascii="宋体" w:hAnsi="宋体" w:eastAsia="宋体" w:cs="宋体"/>
                <w:i w:val="0"/>
                <w:iCs w:val="0"/>
                <w:highlight w:val="none"/>
                <w:u w:val="single"/>
              </w:rPr>
              <w:t>对广西民族</w:t>
            </w:r>
            <w:r>
              <w:rPr>
                <w:rFonts w:hint="eastAsia" w:ascii="宋体" w:hAnsi="宋体" w:cs="宋体"/>
                <w:i w:val="0"/>
                <w:iCs w:val="0"/>
                <w:highlight w:val="none"/>
                <w:u w:val="single"/>
                <w:lang w:eastAsia="zh-CN"/>
              </w:rPr>
              <w:t>艺术宫</w:t>
            </w:r>
            <w:r>
              <w:rPr>
                <w:rFonts w:hint="eastAsia" w:ascii="宋体" w:hAnsi="宋体" w:eastAsia="宋体" w:cs="宋体"/>
                <w:i w:val="0"/>
                <w:iCs w:val="0"/>
                <w:highlight w:val="none"/>
                <w:u w:val="single"/>
              </w:rPr>
              <w:t>西面扶梯勘察设计、设备采购及安装调试等进行施工总承包，主要工作内容为按规范和标准出具设计成果，拆除8台旧扶梯运至指定地点，采购及安装调试8台新扶梯、特种设备登记注册、广西特检院检验，并投入使用</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具体招标代理服务如下：</w:t>
            </w:r>
          </w:p>
          <w:p w14:paraId="3B390D1D">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编制招标（采购）文件，确保组织招标（采购）项目与</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确定的招标（采购）计划一致，并按规定送</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审定；经</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审定并以书面形式确认后，在指定的媒体（广西阳光采购服务平台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发布招（竞）标公告。</w:t>
            </w:r>
          </w:p>
          <w:p w14:paraId="2F369847">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负责招标（采购）文件的澄清、答疑或修改等具体工作，并向购买招标（采购）文件的投（竞）标人发出澄清函或更改通知，负责答复投（竞）标人的咨询、质疑、投诉事项；</w:t>
            </w:r>
          </w:p>
          <w:p w14:paraId="7E5A78D2">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按规定收取投标人以现金保证金、银行保函、保险机构的保单等非现金交易担保方式缴纳</w:t>
            </w:r>
            <w:r>
              <w:rPr>
                <w:rFonts w:hint="eastAsia" w:ascii="宋体" w:hAnsi="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lang w:val="en-US" w:eastAsia="zh-CN"/>
              </w:rPr>
              <w:t>投标保证金，并负责按规定退还投（竞）标保证金；</w:t>
            </w:r>
          </w:p>
          <w:p w14:paraId="3C193C8A">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按规定抽取专家评委</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并</w:t>
            </w:r>
            <w:r>
              <w:rPr>
                <w:rFonts w:hint="eastAsia" w:ascii="宋体" w:hAnsi="宋体" w:cs="宋体"/>
                <w:b w:val="0"/>
                <w:bCs w:val="0"/>
                <w:color w:val="auto"/>
                <w:sz w:val="21"/>
                <w:szCs w:val="21"/>
                <w:highlight w:val="none"/>
                <w:lang w:val="en-US" w:eastAsia="zh-CN"/>
              </w:rPr>
              <w:t>承担评标服务</w:t>
            </w:r>
            <w:r>
              <w:rPr>
                <w:rFonts w:hint="eastAsia" w:ascii="宋体" w:hAnsi="宋体" w:eastAsia="宋体" w:cs="宋体"/>
                <w:b w:val="0"/>
                <w:bCs w:val="0"/>
                <w:color w:val="auto"/>
                <w:sz w:val="21"/>
                <w:szCs w:val="21"/>
                <w:highlight w:val="none"/>
                <w:lang w:val="en-US" w:eastAsia="zh-CN"/>
              </w:rPr>
              <w:t>费；</w:t>
            </w:r>
          </w:p>
          <w:p w14:paraId="03C3BCE6">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组织开标、评标会，复核评标报告；</w:t>
            </w:r>
          </w:p>
          <w:p w14:paraId="4243B326">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提交评标全套资料供甲方定标，经</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以书面形式确认后，按规定在指定的媒体</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广西阳光采购服务平台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发布中标（成交）候选人公示、中标（成交）公告并发出中标</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成交</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通知书</w:t>
            </w:r>
            <w:r>
              <w:rPr>
                <w:rFonts w:hint="eastAsia" w:ascii="宋体" w:hAnsi="宋体" w:cs="宋体"/>
                <w:b w:val="0"/>
                <w:bCs w:val="0"/>
                <w:color w:val="auto"/>
                <w:sz w:val="21"/>
                <w:szCs w:val="21"/>
                <w:highlight w:val="none"/>
                <w:lang w:val="en-US" w:eastAsia="zh-CN"/>
              </w:rPr>
              <w:t>；</w:t>
            </w:r>
          </w:p>
          <w:p w14:paraId="52928638">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按规定</w:t>
            </w:r>
            <w:r>
              <w:rPr>
                <w:rFonts w:hint="eastAsia" w:ascii="宋体" w:hAnsi="宋体" w:cs="宋体"/>
                <w:b w:val="0"/>
                <w:bCs w:val="0"/>
                <w:color w:val="auto"/>
                <w:sz w:val="21"/>
                <w:szCs w:val="21"/>
                <w:highlight w:val="none"/>
                <w:lang w:val="en-US" w:eastAsia="zh-CN"/>
              </w:rPr>
              <w:t>向中标人</w:t>
            </w:r>
            <w:r>
              <w:rPr>
                <w:rFonts w:hint="eastAsia" w:ascii="宋体" w:hAnsi="宋体" w:eastAsia="宋体" w:cs="宋体"/>
                <w:b w:val="0"/>
                <w:bCs w:val="0"/>
                <w:color w:val="auto"/>
                <w:sz w:val="21"/>
                <w:szCs w:val="21"/>
                <w:highlight w:val="none"/>
                <w:lang w:val="en-US" w:eastAsia="zh-CN"/>
              </w:rPr>
              <w:t>收取</w:t>
            </w:r>
            <w:r>
              <w:rPr>
                <w:rFonts w:hint="eastAsia" w:ascii="宋体" w:hAnsi="宋体" w:cs="宋体"/>
                <w:b w:val="0"/>
                <w:bCs w:val="0"/>
                <w:color w:val="auto"/>
                <w:sz w:val="21"/>
                <w:szCs w:val="21"/>
                <w:highlight w:val="none"/>
                <w:lang w:val="en-US" w:eastAsia="zh-CN"/>
              </w:rPr>
              <w:t>招标代理</w:t>
            </w:r>
            <w:r>
              <w:rPr>
                <w:rFonts w:hint="eastAsia" w:ascii="宋体" w:hAnsi="宋体" w:eastAsia="宋体" w:cs="宋体"/>
                <w:b w:val="0"/>
                <w:bCs w:val="0"/>
                <w:color w:val="auto"/>
                <w:sz w:val="21"/>
                <w:szCs w:val="21"/>
                <w:highlight w:val="none"/>
                <w:lang w:val="en-US" w:eastAsia="zh-CN"/>
              </w:rPr>
              <w:t>服务费；</w:t>
            </w:r>
          </w:p>
          <w:p w14:paraId="2AD48892">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乙方应严格按照相关</w:t>
            </w:r>
            <w:r>
              <w:rPr>
                <w:rFonts w:hint="eastAsia" w:ascii="宋体" w:hAnsi="宋体" w:cs="宋体"/>
                <w:b w:val="0"/>
                <w:bCs w:val="0"/>
                <w:color w:val="auto"/>
                <w:sz w:val="21"/>
                <w:szCs w:val="21"/>
                <w:highlight w:val="none"/>
                <w:lang w:val="en-US" w:eastAsia="zh-CN"/>
              </w:rPr>
              <w:t>法律法规</w:t>
            </w:r>
            <w:r>
              <w:rPr>
                <w:rFonts w:hint="eastAsia" w:ascii="宋体" w:hAnsi="宋体" w:eastAsia="宋体" w:cs="宋体"/>
                <w:b w:val="0"/>
                <w:bCs w:val="0"/>
                <w:color w:val="auto"/>
                <w:sz w:val="21"/>
                <w:szCs w:val="21"/>
                <w:highlight w:val="none"/>
                <w:lang w:val="en-US" w:eastAsia="zh-CN"/>
              </w:rPr>
              <w:t>和政策开展招标（采购）代理业务，遵循公开、公平、公正和诚实守信的原则，以科学、规范、高效、廉洁为宗旨，提供良好的服务，有责任拒绝和防范任何单位和个人对招标（采购）过程违法违规干预插手行为</w:t>
            </w:r>
            <w:r>
              <w:rPr>
                <w:rFonts w:hint="eastAsia" w:ascii="宋体" w:hAnsi="宋体" w:cs="宋体"/>
                <w:b w:val="0"/>
                <w:bCs w:val="0"/>
                <w:color w:val="auto"/>
                <w:sz w:val="21"/>
                <w:szCs w:val="21"/>
                <w:highlight w:val="none"/>
                <w:lang w:val="en-US" w:eastAsia="zh-CN"/>
              </w:rPr>
              <w:t>；</w:t>
            </w:r>
          </w:p>
          <w:p w14:paraId="1257C8C8">
            <w:pPr>
              <w:numPr>
                <w:ilvl w:val="0"/>
                <w:numId w:val="1"/>
              </w:num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Cs w:val="21"/>
                <w:highlight w:val="none"/>
                <w:lang w:val="en-US" w:eastAsia="zh-CN"/>
              </w:rPr>
              <w:t>招标项目中标结果公告之日起</w:t>
            </w:r>
            <w:r>
              <w:rPr>
                <w:rFonts w:hint="eastAsia" w:ascii="宋体" w:hAnsi="宋体" w:eastAsia="宋体" w:cs="宋体"/>
                <w:b w:val="0"/>
                <w:bCs w:val="0"/>
                <w:color w:val="auto"/>
                <w:sz w:val="21"/>
                <w:szCs w:val="21"/>
                <w:highlight w:val="none"/>
                <w:lang w:val="en-US" w:eastAsia="zh-CN"/>
              </w:rPr>
              <w:t>1个月内，向</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提供</w:t>
            </w:r>
            <w:r>
              <w:rPr>
                <w:rFonts w:hint="eastAsia" w:ascii="宋体" w:hAnsi="宋体" w:cs="宋体"/>
                <w:b w:val="0"/>
                <w:bCs w:val="0"/>
                <w:color w:val="auto"/>
                <w:sz w:val="21"/>
                <w:szCs w:val="21"/>
                <w:highlight w:val="none"/>
                <w:lang w:val="en-US" w:eastAsia="zh-CN"/>
              </w:rPr>
              <w:t>本次</w:t>
            </w:r>
            <w:r>
              <w:rPr>
                <w:rFonts w:hint="eastAsia" w:ascii="宋体" w:hAnsi="宋体" w:eastAsia="宋体" w:cs="宋体"/>
                <w:b w:val="0"/>
                <w:bCs w:val="0"/>
                <w:color w:val="auto"/>
                <w:sz w:val="21"/>
                <w:szCs w:val="21"/>
                <w:highlight w:val="none"/>
                <w:lang w:val="en-US" w:eastAsia="zh-CN"/>
              </w:rPr>
              <w:t>招标（采购）活动涉及的卷宗档案一套</w:t>
            </w:r>
            <w:r>
              <w:rPr>
                <w:rFonts w:hint="eastAsia" w:ascii="宋体" w:hAnsi="宋体" w:cs="宋体"/>
                <w:b w:val="0"/>
                <w:bCs w:val="0"/>
                <w:color w:val="auto"/>
                <w:sz w:val="21"/>
                <w:szCs w:val="21"/>
                <w:highlight w:val="none"/>
                <w:lang w:val="en-US" w:eastAsia="zh-CN"/>
              </w:rPr>
              <w:t>。</w:t>
            </w:r>
          </w:p>
        </w:tc>
      </w:tr>
      <w:tr w14:paraId="0D51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44" w:type="dxa"/>
            <w:noWrap w:val="0"/>
            <w:vAlign w:val="center"/>
          </w:tcPr>
          <w:p w14:paraId="55635356">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6</w:t>
            </w:r>
          </w:p>
        </w:tc>
        <w:tc>
          <w:tcPr>
            <w:tcW w:w="1871" w:type="dxa"/>
            <w:noWrap w:val="0"/>
            <w:vAlign w:val="center"/>
          </w:tcPr>
          <w:p w14:paraId="3620ECAD">
            <w:pPr>
              <w:spacing w:line="340" w:lineRule="exact"/>
              <w:jc w:val="center"/>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采购上限控制价</w:t>
            </w:r>
          </w:p>
        </w:tc>
        <w:tc>
          <w:tcPr>
            <w:tcW w:w="7185" w:type="dxa"/>
            <w:noWrap w:val="0"/>
            <w:vAlign w:val="center"/>
          </w:tcPr>
          <w:p w14:paraId="7BDA714C">
            <w:pPr>
              <w:spacing w:line="3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招标代理服务采购上限控制价17000元。</w:t>
            </w:r>
          </w:p>
        </w:tc>
      </w:tr>
      <w:tr w14:paraId="5BE0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44" w:type="dxa"/>
            <w:noWrap w:val="0"/>
            <w:vAlign w:val="center"/>
          </w:tcPr>
          <w:p w14:paraId="1C30DC1D">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7</w:t>
            </w:r>
          </w:p>
        </w:tc>
        <w:tc>
          <w:tcPr>
            <w:tcW w:w="1871" w:type="dxa"/>
            <w:noWrap w:val="0"/>
            <w:vAlign w:val="center"/>
          </w:tcPr>
          <w:p w14:paraId="7FE94D77">
            <w:pPr>
              <w:spacing w:line="340" w:lineRule="exact"/>
              <w:jc w:val="center"/>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资金来源</w:t>
            </w:r>
          </w:p>
        </w:tc>
        <w:tc>
          <w:tcPr>
            <w:tcW w:w="7185" w:type="dxa"/>
            <w:noWrap w:val="0"/>
            <w:vAlign w:val="center"/>
          </w:tcPr>
          <w:p w14:paraId="3FE15667">
            <w:pPr>
              <w:spacing w:line="3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本</w:t>
            </w:r>
            <w:r>
              <w:rPr>
                <w:rFonts w:hint="eastAsia" w:ascii="宋体" w:hAnsi="宋体" w:eastAsia="宋体" w:cs="宋体"/>
                <w:b w:val="0"/>
                <w:bCs w:val="0"/>
                <w:color w:val="auto"/>
                <w:sz w:val="21"/>
                <w:szCs w:val="21"/>
                <w:highlight w:val="none"/>
                <w:lang w:val="en-US" w:eastAsia="zh-CN"/>
              </w:rPr>
              <w:t>招标代理服务</w:t>
            </w:r>
            <w:r>
              <w:rPr>
                <w:rFonts w:hint="eastAsia" w:ascii="宋体" w:hAnsi="宋体" w:cs="宋体"/>
                <w:b w:val="0"/>
                <w:bCs w:val="0"/>
                <w:color w:val="auto"/>
                <w:sz w:val="21"/>
                <w:szCs w:val="21"/>
                <w:highlight w:val="none"/>
                <w:lang w:val="en-US" w:eastAsia="zh-CN"/>
              </w:rPr>
              <w:t>项目资金来源于招标项目中标人。</w:t>
            </w:r>
          </w:p>
        </w:tc>
      </w:tr>
      <w:tr w14:paraId="7CF4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44" w:type="dxa"/>
            <w:noWrap w:val="0"/>
            <w:vAlign w:val="center"/>
          </w:tcPr>
          <w:p w14:paraId="314D1C33">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8</w:t>
            </w:r>
          </w:p>
        </w:tc>
        <w:tc>
          <w:tcPr>
            <w:tcW w:w="1871" w:type="dxa"/>
            <w:noWrap w:val="0"/>
            <w:vAlign w:val="center"/>
          </w:tcPr>
          <w:p w14:paraId="4B5AA801">
            <w:pPr>
              <w:spacing w:line="340" w:lineRule="exact"/>
              <w:jc w:val="center"/>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实施方式</w:t>
            </w:r>
          </w:p>
        </w:tc>
        <w:tc>
          <w:tcPr>
            <w:tcW w:w="7185" w:type="dxa"/>
            <w:noWrap w:val="0"/>
            <w:vAlign w:val="center"/>
          </w:tcPr>
          <w:p w14:paraId="6AB1101D">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固定总价（包干价）承包。</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lang w:val="en-US" w:eastAsia="zh-CN"/>
              </w:rPr>
              <w:t>报价（招标代理服务费）为包干价，包含编制招标文件</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专家费、差旅费、投标文件档案整理等费用</w:t>
            </w:r>
            <w:r>
              <w:rPr>
                <w:rFonts w:hint="eastAsia" w:ascii="宋体" w:hAnsi="宋体" w:cs="宋体"/>
                <w:b w:val="0"/>
                <w:bCs w:val="0"/>
                <w:color w:val="auto"/>
                <w:sz w:val="21"/>
                <w:szCs w:val="21"/>
                <w:highlight w:val="none"/>
                <w:lang w:val="en-US" w:eastAsia="zh-CN"/>
              </w:rPr>
              <w:t>。</w:t>
            </w:r>
          </w:p>
        </w:tc>
      </w:tr>
      <w:tr w14:paraId="5985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44" w:type="dxa"/>
            <w:noWrap w:val="0"/>
            <w:vAlign w:val="center"/>
          </w:tcPr>
          <w:p w14:paraId="4A25D640">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9</w:t>
            </w:r>
          </w:p>
        </w:tc>
        <w:tc>
          <w:tcPr>
            <w:tcW w:w="1871" w:type="dxa"/>
            <w:noWrap w:val="0"/>
            <w:vAlign w:val="center"/>
          </w:tcPr>
          <w:p w14:paraId="435B81E4">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资格</w:t>
            </w:r>
          </w:p>
        </w:tc>
        <w:tc>
          <w:tcPr>
            <w:tcW w:w="7185" w:type="dxa"/>
            <w:noWrap w:val="0"/>
            <w:vAlign w:val="center"/>
          </w:tcPr>
          <w:p w14:paraId="134825C1">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lang w:val="en-US" w:eastAsia="zh-CN"/>
              </w:rPr>
              <w:t>应为中华人民共和国境内依法登记的具有独立承担民事责任能力的法人或其他组织，具备从事本项目业务经营资质，并具备有效的营业执照。</w:t>
            </w:r>
          </w:p>
          <w:p w14:paraId="529A2B34">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2.本项目报价截止时间前三年内，在经营活动中无重大违法记录；无其他法律、行政法规规定的禁止参与类似本项目业务的行为</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提供书面声明</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lang w:val="en-US" w:eastAsia="zh-CN"/>
              </w:rPr>
              <w:t>在竞标期间，企业在“信用中国”网站</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www.creditchina.gov.cn</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、中国政府采购网</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www.ccgp.gov.cn</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等渠道被公布为失信被执行人名单或重大税收违法案件当事人名单或政府采购严重违法失信行为记录名单，且处罚期未结束的，不得参与本次采购活动。</w:t>
            </w:r>
          </w:p>
          <w:p w14:paraId="0C51B0A8">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lang w:val="en-US" w:eastAsia="zh-CN"/>
              </w:rPr>
              <w:t>单位负责人为同一人或者</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lang w:val="en-US" w:eastAsia="zh-CN"/>
              </w:rPr>
              <w:t>存在直接控股、管理关系的单位，不得参加同一合同项下的采购活动；与采购人存在利害关系可能影响采购公正性的法人、其他组织，不得参加本项目报价。</w:t>
            </w:r>
          </w:p>
          <w:p w14:paraId="41131C5A">
            <w:pPr>
              <w:spacing w:line="340" w:lineRule="exact"/>
              <w:jc w:val="left"/>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4.本招标代理服务项目成交人与其拟为采购人组织的招标项目投标人存在直接控股、管理关系的单位，不得参加本项目报价。</w:t>
            </w:r>
          </w:p>
          <w:p w14:paraId="4F60BA5E">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5.不接受联合体投标。</w:t>
            </w:r>
          </w:p>
          <w:p w14:paraId="62EFDB48">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lang w:val="en-US" w:eastAsia="zh-CN"/>
              </w:rPr>
              <w:t>已在广西阳光采购服务平台官网（https://ygcg.bbwcq.com</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注册招标采购系统或已在能够实现采购全流程电子化与信息化且能接入广西阳光采购服务平台的采购交易平台注册，并可使用上述采购系统开展招标采购工作。</w:t>
            </w:r>
          </w:p>
        </w:tc>
      </w:tr>
      <w:tr w14:paraId="2B77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644" w:type="dxa"/>
            <w:noWrap w:val="0"/>
            <w:vAlign w:val="center"/>
          </w:tcPr>
          <w:p w14:paraId="255C596A">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w:t>
            </w:r>
          </w:p>
        </w:tc>
        <w:tc>
          <w:tcPr>
            <w:tcW w:w="1871" w:type="dxa"/>
            <w:noWrap w:val="0"/>
            <w:vAlign w:val="center"/>
          </w:tcPr>
          <w:p w14:paraId="009726D0">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澄清或者修改</w:t>
            </w:r>
          </w:p>
        </w:tc>
        <w:tc>
          <w:tcPr>
            <w:tcW w:w="7185" w:type="dxa"/>
            <w:noWrap w:val="0"/>
            <w:vAlign w:val="top"/>
          </w:tcPr>
          <w:p w14:paraId="28A15FBB">
            <w:pPr>
              <w:spacing w:line="34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提交</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截止之日前，</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rPr>
              <w:t>可以对已发出的</w:t>
            </w:r>
            <w:r>
              <w:rPr>
                <w:rFonts w:hint="eastAsia" w:ascii="宋体" w:hAnsi="宋体" w:cs="宋体"/>
                <w:b w:val="0"/>
                <w:bCs w:val="0"/>
                <w:color w:val="auto"/>
                <w:sz w:val="21"/>
                <w:szCs w:val="21"/>
                <w:highlight w:val="none"/>
                <w:lang w:val="en-US" w:eastAsia="zh-CN"/>
              </w:rPr>
              <w:t>采购公告、采购文件</w:t>
            </w:r>
            <w:r>
              <w:rPr>
                <w:rFonts w:hint="eastAsia" w:ascii="宋体" w:hAnsi="宋体" w:eastAsia="宋体" w:cs="宋体"/>
                <w:b w:val="0"/>
                <w:bCs w:val="0"/>
                <w:color w:val="auto"/>
                <w:sz w:val="21"/>
                <w:szCs w:val="21"/>
                <w:highlight w:val="none"/>
              </w:rPr>
              <w:t>进行必要澄清或者修改，</w:t>
            </w:r>
            <w:r>
              <w:rPr>
                <w:rFonts w:hint="eastAsia" w:ascii="宋体" w:hAnsi="宋体" w:eastAsia="宋体" w:cs="宋体"/>
                <w:b w:val="0"/>
                <w:bCs w:val="0"/>
                <w:color w:val="auto"/>
                <w:sz w:val="21"/>
                <w:szCs w:val="21"/>
                <w:highlight w:val="none"/>
                <w:lang w:val="en-US" w:eastAsia="zh-CN"/>
              </w:rPr>
              <w:t>并</w:t>
            </w:r>
            <w:r>
              <w:rPr>
                <w:rFonts w:hint="eastAsia" w:ascii="宋体" w:hAnsi="宋体" w:eastAsia="宋体" w:cs="宋体"/>
                <w:b w:val="0"/>
                <w:bCs w:val="0"/>
                <w:color w:val="auto"/>
                <w:sz w:val="21"/>
                <w:szCs w:val="21"/>
                <w:highlight w:val="none"/>
              </w:rPr>
              <w:t>在提交</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递交截止时间前</w:t>
            </w:r>
            <w:r>
              <w:rPr>
                <w:rFonts w:hint="eastAsia" w:ascii="宋体" w:hAnsi="宋体" w:cs="宋体"/>
                <w:b w:val="0"/>
                <w:bCs w:val="0"/>
                <w:color w:val="auto"/>
                <w:sz w:val="21"/>
                <w:szCs w:val="21"/>
                <w:highlight w:val="none"/>
                <w:lang w:val="en-US" w:eastAsia="zh-CN"/>
              </w:rPr>
              <w:t>将采购澄清或者修改的内容在原采购公告发布网站进行发布</w:t>
            </w:r>
            <w:r>
              <w:rPr>
                <w:rFonts w:hint="eastAsia" w:ascii="宋体" w:hAnsi="宋体" w:eastAsia="宋体" w:cs="宋体"/>
                <w:b w:val="0"/>
                <w:bCs w:val="0"/>
                <w:color w:val="auto"/>
                <w:sz w:val="21"/>
                <w:szCs w:val="21"/>
                <w:highlight w:val="none"/>
              </w:rPr>
              <w:t>。</w:t>
            </w:r>
          </w:p>
        </w:tc>
      </w:tr>
      <w:tr w14:paraId="3BE8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4" w:type="dxa"/>
            <w:noWrap w:val="0"/>
            <w:vAlign w:val="center"/>
          </w:tcPr>
          <w:p w14:paraId="15326F09">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1</w:t>
            </w:r>
          </w:p>
        </w:tc>
        <w:tc>
          <w:tcPr>
            <w:tcW w:w="1871" w:type="dxa"/>
            <w:noWrap w:val="0"/>
            <w:vAlign w:val="center"/>
          </w:tcPr>
          <w:p w14:paraId="531F4E03">
            <w:pPr>
              <w:spacing w:line="340" w:lineRule="exact"/>
              <w:jc w:val="center"/>
              <w:rPr>
                <w:rFonts w:hint="eastAsia" w:ascii="宋体" w:hAnsi="宋体" w:eastAsia="宋体" w:cs="宋体"/>
                <w:b w:val="0"/>
                <w:bCs w:val="0"/>
                <w:color w:val="auto"/>
                <w:position w:val="0"/>
                <w:sz w:val="21"/>
                <w:szCs w:val="21"/>
                <w:highlight w:val="none"/>
              </w:rPr>
            </w:pPr>
            <w:r>
              <w:rPr>
                <w:rFonts w:hint="eastAsia" w:ascii="宋体" w:hAnsi="宋体" w:cs="宋体"/>
                <w:b w:val="0"/>
                <w:bCs w:val="0"/>
                <w:color w:val="auto"/>
                <w:position w:val="0"/>
                <w:sz w:val="21"/>
                <w:szCs w:val="21"/>
                <w:highlight w:val="none"/>
                <w:lang w:eastAsia="zh-CN"/>
              </w:rPr>
              <w:t>响应文件</w:t>
            </w:r>
            <w:r>
              <w:rPr>
                <w:rFonts w:hint="eastAsia" w:ascii="宋体" w:hAnsi="宋体" w:eastAsia="宋体" w:cs="宋体"/>
                <w:b w:val="0"/>
                <w:bCs w:val="0"/>
                <w:color w:val="auto"/>
                <w:position w:val="0"/>
                <w:sz w:val="21"/>
                <w:szCs w:val="21"/>
                <w:highlight w:val="none"/>
              </w:rPr>
              <w:t>有效期</w:t>
            </w:r>
          </w:p>
        </w:tc>
        <w:tc>
          <w:tcPr>
            <w:tcW w:w="7185" w:type="dxa"/>
            <w:noWrap w:val="0"/>
            <w:vAlign w:val="center"/>
          </w:tcPr>
          <w:p w14:paraId="4D45C31E">
            <w:pPr>
              <w:spacing w:line="340" w:lineRule="exact"/>
              <w:jc w:val="lef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递交截止之日起60</w:t>
            </w:r>
            <w:r>
              <w:rPr>
                <w:rFonts w:hint="eastAsia" w:ascii="宋体" w:hAnsi="宋体" w:eastAsia="宋体" w:cs="宋体"/>
                <w:b w:val="0"/>
                <w:bCs w:val="0"/>
                <w:color w:val="auto"/>
                <w:sz w:val="21"/>
                <w:szCs w:val="21"/>
                <w:highlight w:val="none"/>
                <w:lang w:val="en-US" w:eastAsia="zh-CN"/>
              </w:rPr>
              <w:t>个自然</w:t>
            </w:r>
            <w:r>
              <w:rPr>
                <w:rFonts w:hint="eastAsia" w:ascii="宋体" w:hAnsi="宋体" w:cs="宋体"/>
                <w:b w:val="0"/>
                <w:bCs w:val="0"/>
                <w:color w:val="auto"/>
                <w:sz w:val="21"/>
                <w:szCs w:val="21"/>
                <w:highlight w:val="none"/>
                <w:lang w:val="en-US" w:eastAsia="zh-CN"/>
              </w:rPr>
              <w:t>日内</w:t>
            </w:r>
            <w:r>
              <w:rPr>
                <w:rFonts w:hint="eastAsia" w:ascii="宋体" w:hAnsi="宋体" w:eastAsia="宋体" w:cs="宋体"/>
                <w:b w:val="0"/>
                <w:bCs w:val="0"/>
                <w:color w:val="auto"/>
                <w:sz w:val="21"/>
                <w:szCs w:val="21"/>
                <w:highlight w:val="none"/>
              </w:rPr>
              <w:t>，有效期不足的</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将被拒绝。</w:t>
            </w:r>
          </w:p>
        </w:tc>
      </w:tr>
      <w:tr w14:paraId="11D7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644" w:type="dxa"/>
            <w:noWrap w:val="0"/>
            <w:vAlign w:val="center"/>
          </w:tcPr>
          <w:p w14:paraId="1AD9C50E">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2</w:t>
            </w:r>
          </w:p>
        </w:tc>
        <w:tc>
          <w:tcPr>
            <w:tcW w:w="1871" w:type="dxa"/>
            <w:noWrap w:val="0"/>
            <w:vAlign w:val="center"/>
          </w:tcPr>
          <w:p w14:paraId="70C89E60">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份数</w:t>
            </w:r>
          </w:p>
        </w:tc>
        <w:tc>
          <w:tcPr>
            <w:tcW w:w="7185" w:type="dxa"/>
            <w:noWrap w:val="0"/>
            <w:vAlign w:val="center"/>
          </w:tcPr>
          <w:p w14:paraId="1C388DF2">
            <w:pPr>
              <w:spacing w:line="34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纸质</w:t>
            </w:r>
            <w:r>
              <w:rPr>
                <w:rFonts w:hint="eastAsia" w:ascii="宋体" w:hAnsi="宋体" w:cs="宋体"/>
                <w:b w:val="0"/>
                <w:bCs w:val="0"/>
                <w:color w:val="auto"/>
                <w:sz w:val="21"/>
                <w:szCs w:val="21"/>
                <w:highlight w:val="none"/>
                <w:lang w:val="en-US" w:eastAsia="zh-CN"/>
              </w:rPr>
              <w:t>响应文件</w:t>
            </w:r>
            <w:r>
              <w:rPr>
                <w:rFonts w:hint="eastAsia" w:ascii="宋体" w:hAnsi="宋体" w:eastAsia="宋体" w:cs="宋体"/>
                <w:b w:val="0"/>
                <w:bCs w:val="0"/>
                <w:color w:val="auto"/>
                <w:sz w:val="21"/>
                <w:szCs w:val="21"/>
                <w:highlight w:val="none"/>
              </w:rPr>
              <w:t>一份。</w:t>
            </w:r>
          </w:p>
        </w:tc>
      </w:tr>
      <w:tr w14:paraId="4DE2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644" w:type="dxa"/>
            <w:noWrap w:val="0"/>
            <w:vAlign w:val="center"/>
          </w:tcPr>
          <w:p w14:paraId="08722B92">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3</w:t>
            </w:r>
          </w:p>
        </w:tc>
        <w:tc>
          <w:tcPr>
            <w:tcW w:w="1871" w:type="dxa"/>
            <w:noWrap w:val="0"/>
            <w:vAlign w:val="center"/>
          </w:tcPr>
          <w:p w14:paraId="018D2B35">
            <w:pPr>
              <w:spacing w:line="340" w:lineRule="exact"/>
              <w:jc w:val="center"/>
              <w:rPr>
                <w:rFonts w:hint="eastAsia" w:ascii="宋体" w:hAnsi="宋体" w:eastAsia="宋体" w:cs="宋体"/>
                <w:b w:val="0"/>
                <w:bCs w:val="0"/>
                <w:color w:val="auto"/>
                <w:position w:val="0"/>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装订要求</w:t>
            </w:r>
          </w:p>
        </w:tc>
        <w:tc>
          <w:tcPr>
            <w:tcW w:w="7185" w:type="dxa"/>
            <w:noWrap w:val="0"/>
            <w:vAlign w:val="center"/>
          </w:tcPr>
          <w:p w14:paraId="3C9634CA">
            <w:pPr>
              <w:spacing w:line="340" w:lineRule="exac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应</w:t>
            </w:r>
            <w:r>
              <w:rPr>
                <w:rFonts w:hint="eastAsia" w:ascii="宋体" w:hAnsi="宋体" w:eastAsia="宋体" w:cs="宋体"/>
                <w:b w:val="0"/>
                <w:bCs w:val="0"/>
                <w:color w:val="auto"/>
                <w:sz w:val="21"/>
                <w:szCs w:val="21"/>
                <w:highlight w:val="none"/>
                <w:lang w:val="en-US" w:eastAsia="zh-CN"/>
              </w:rPr>
              <w:t>在</w:t>
            </w:r>
            <w:r>
              <w:rPr>
                <w:rFonts w:hint="eastAsia" w:ascii="宋体" w:hAnsi="宋体" w:cs="宋体"/>
                <w:b w:val="0"/>
                <w:bCs w:val="0"/>
                <w:color w:val="auto"/>
                <w:sz w:val="21"/>
                <w:szCs w:val="21"/>
                <w:highlight w:val="none"/>
                <w:lang w:val="en-US" w:eastAsia="zh-CN"/>
              </w:rPr>
              <w:t>响应文件</w:t>
            </w:r>
            <w:r>
              <w:rPr>
                <w:rFonts w:hint="eastAsia" w:ascii="宋体" w:hAnsi="宋体" w:eastAsia="宋体" w:cs="宋体"/>
                <w:b w:val="0"/>
                <w:bCs w:val="0"/>
                <w:color w:val="auto"/>
                <w:sz w:val="21"/>
                <w:szCs w:val="21"/>
                <w:highlight w:val="none"/>
                <w:lang w:val="en-US" w:eastAsia="zh-CN"/>
              </w:rPr>
              <w:t>每页加盖本企业公章</w:t>
            </w:r>
            <w:r>
              <w:rPr>
                <w:rFonts w:hint="eastAsia" w:ascii="宋体" w:hAnsi="宋体" w:eastAsia="宋体" w:cs="宋体"/>
                <w:b w:val="0"/>
                <w:bCs w:val="0"/>
                <w:color w:val="auto"/>
                <w:sz w:val="21"/>
                <w:szCs w:val="21"/>
                <w:highlight w:val="none"/>
              </w:rPr>
              <w:t>，封面上写明项目名称、</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rPr>
              <w:t>名称。</w:t>
            </w:r>
          </w:p>
        </w:tc>
      </w:tr>
      <w:tr w14:paraId="6A30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44" w:type="dxa"/>
            <w:noWrap w:val="0"/>
            <w:vAlign w:val="center"/>
          </w:tcPr>
          <w:p w14:paraId="3BBCC39A">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w:t>
            </w:r>
          </w:p>
        </w:tc>
        <w:tc>
          <w:tcPr>
            <w:tcW w:w="1871" w:type="dxa"/>
            <w:noWrap w:val="0"/>
            <w:vAlign w:val="center"/>
          </w:tcPr>
          <w:p w14:paraId="5D08F86F">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包装、密封、标记</w:t>
            </w:r>
          </w:p>
        </w:tc>
        <w:tc>
          <w:tcPr>
            <w:tcW w:w="7185" w:type="dxa"/>
            <w:noWrap w:val="0"/>
            <w:vAlign w:val="center"/>
          </w:tcPr>
          <w:p w14:paraId="4FD09B8B">
            <w:pPr>
              <w:snapToGrid/>
              <w:spacing w:line="340" w:lineRule="exact"/>
              <w:jc w:val="lef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包装、密封</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须将</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装入一个</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袋（盒、箱）中密封，并在密封处密封签章【公章、密封章、法定代表人或相应的授权委托代理人签字均可】。</w:t>
            </w:r>
          </w:p>
          <w:p w14:paraId="5F8CB6A0">
            <w:pPr>
              <w:spacing w:line="340" w:lineRule="exac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袋标记：</w:t>
            </w:r>
          </w:p>
          <w:p w14:paraId="54CA9E37">
            <w:pPr>
              <w:spacing w:line="340" w:lineRule="exact"/>
              <w:ind w:left="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项目名称：</w:t>
            </w:r>
            <w:r>
              <w:rPr>
                <w:rFonts w:hint="eastAsia" w:ascii="宋体" w:hAnsi="宋体" w:eastAsia="宋体" w:cs="宋体"/>
                <w:color w:val="auto"/>
                <w:szCs w:val="21"/>
                <w:highlight w:val="none"/>
                <w:lang w:val="en-US" w:eastAsia="zh-CN"/>
              </w:rPr>
              <w:t>广西民族艺术宫</w:t>
            </w:r>
            <w:r>
              <w:rPr>
                <w:rFonts w:hint="eastAsia" w:ascii="宋体" w:hAnsi="宋体" w:cs="宋体"/>
                <w:color w:val="auto"/>
                <w:szCs w:val="21"/>
                <w:highlight w:val="none"/>
                <w:lang w:val="en-US" w:eastAsia="zh-CN"/>
              </w:rPr>
              <w:t>西面扶梯</w:t>
            </w:r>
            <w:r>
              <w:rPr>
                <w:rFonts w:hint="eastAsia" w:ascii="宋体" w:hAnsi="宋体" w:eastAsia="宋体" w:cs="宋体"/>
                <w:color w:val="auto"/>
                <w:szCs w:val="21"/>
                <w:highlight w:val="none"/>
                <w:lang w:val="en-US" w:eastAsia="zh-CN"/>
              </w:rPr>
              <w:t>设备更新项目招标代理服务</w:t>
            </w:r>
          </w:p>
          <w:p w14:paraId="4DE5FCCF">
            <w:pPr>
              <w:spacing w:line="340" w:lineRule="exac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名称：</w:t>
            </w:r>
          </w:p>
          <w:p w14:paraId="4A0A804D">
            <w:pPr>
              <w:spacing w:line="34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在</w:t>
            </w:r>
            <w:r>
              <w:rPr>
                <w:rFonts w:hint="eastAsia" w:ascii="宋体" w:hAnsi="宋体" w:eastAsia="宋体" w:cs="宋体"/>
                <w:b w:val="0"/>
                <w:bCs w:val="0"/>
                <w:color w:val="auto"/>
                <w:sz w:val="21"/>
                <w:szCs w:val="21"/>
                <w:highlight w:val="none"/>
                <w:lang w:val="en-US" w:eastAsia="zh-CN"/>
              </w:rPr>
              <w:t>202</w:t>
            </w: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年</w:t>
            </w:r>
            <w:r>
              <w:rPr>
                <w:rFonts w:hint="eastAsia" w:ascii="宋体" w:hAnsi="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月</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日</w:t>
            </w:r>
            <w:r>
              <w:rPr>
                <w:rFonts w:hint="eastAsia" w:ascii="宋体" w:hAnsi="宋体" w:cs="宋体"/>
                <w:b w:val="0"/>
                <w:bCs w:val="0"/>
                <w:color w:val="auto"/>
                <w:sz w:val="21"/>
                <w:szCs w:val="21"/>
                <w:highlight w:val="none"/>
                <w:lang w:val="en-US" w:eastAsia="zh-CN"/>
              </w:rPr>
              <w:t>9点整（北京时间）</w:t>
            </w:r>
            <w:r>
              <w:rPr>
                <w:rFonts w:hint="eastAsia" w:ascii="宋体" w:hAnsi="宋体" w:eastAsia="宋体" w:cs="宋体"/>
                <w:b w:val="0"/>
                <w:bCs w:val="0"/>
                <w:color w:val="auto"/>
                <w:sz w:val="21"/>
                <w:szCs w:val="21"/>
                <w:highlight w:val="none"/>
              </w:rPr>
              <w:t>前不得开启</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此处</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填写</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递交截止时间</w:t>
            </w:r>
            <w:r>
              <w:rPr>
                <w:rFonts w:hint="eastAsia" w:ascii="宋体" w:hAnsi="宋体" w:cs="宋体"/>
                <w:b w:val="0"/>
                <w:bCs w:val="0"/>
                <w:color w:val="auto"/>
                <w:sz w:val="21"/>
                <w:szCs w:val="21"/>
                <w:highlight w:val="none"/>
                <w:lang w:eastAsia="zh-CN"/>
              </w:rPr>
              <w:t>）</w:t>
            </w:r>
          </w:p>
        </w:tc>
      </w:tr>
      <w:tr w14:paraId="46A2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644" w:type="dxa"/>
            <w:noWrap w:val="0"/>
            <w:vAlign w:val="center"/>
          </w:tcPr>
          <w:p w14:paraId="4B4060D1">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5</w:t>
            </w:r>
          </w:p>
        </w:tc>
        <w:tc>
          <w:tcPr>
            <w:tcW w:w="1871" w:type="dxa"/>
            <w:noWrap w:val="0"/>
            <w:vAlign w:val="center"/>
          </w:tcPr>
          <w:p w14:paraId="063EB0D9">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公章</w:t>
            </w:r>
          </w:p>
        </w:tc>
        <w:tc>
          <w:tcPr>
            <w:tcW w:w="7185" w:type="dxa"/>
            <w:noWrap w:val="0"/>
            <w:vAlign w:val="center"/>
          </w:tcPr>
          <w:p w14:paraId="577F2A88">
            <w:pPr>
              <w:spacing w:line="34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w:t>
            </w:r>
            <w:r>
              <w:rPr>
                <w:rFonts w:hint="eastAsia" w:ascii="宋体" w:hAnsi="宋体" w:cs="宋体"/>
                <w:b w:val="0"/>
                <w:bCs w:val="0"/>
                <w:color w:val="auto"/>
                <w:sz w:val="21"/>
                <w:szCs w:val="21"/>
                <w:highlight w:val="none"/>
                <w:lang w:val="en-US" w:eastAsia="zh-CN"/>
              </w:rPr>
              <w:t>采购文件</w:t>
            </w:r>
            <w:r>
              <w:rPr>
                <w:rFonts w:hint="eastAsia" w:ascii="宋体" w:hAnsi="宋体" w:eastAsia="宋体" w:cs="宋体"/>
                <w:b w:val="0"/>
                <w:bCs w:val="0"/>
                <w:color w:val="auto"/>
                <w:sz w:val="21"/>
                <w:szCs w:val="21"/>
                <w:highlight w:val="none"/>
              </w:rPr>
              <w:t>描述</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的“公章”是指根据我国对公章的管理规定</w:t>
            </w:r>
            <w:r>
              <w:rPr>
                <w:rFonts w:hint="eastAsia" w:ascii="宋体" w:hAnsi="宋体" w:cs="宋体"/>
                <w:b w:val="0"/>
                <w:bCs w:val="0"/>
                <w:color w:val="auto"/>
                <w:sz w:val="21"/>
                <w:szCs w:val="21"/>
                <w:highlight w:val="none"/>
                <w:lang w:eastAsia="zh-CN"/>
              </w:rPr>
              <w:t>，使</w:t>
            </w:r>
            <w:r>
              <w:rPr>
                <w:rFonts w:hint="eastAsia" w:ascii="宋体" w:hAnsi="宋体" w:eastAsia="宋体" w:cs="宋体"/>
                <w:b w:val="0"/>
                <w:bCs w:val="0"/>
                <w:color w:val="auto"/>
                <w:sz w:val="21"/>
                <w:szCs w:val="21"/>
                <w:highlight w:val="none"/>
              </w:rPr>
              <w:t>用</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法定主体行为名称制作的印章，除本文件有特殊规定外，</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b w:val="0"/>
                <w:bCs w:val="0"/>
                <w:color w:val="auto"/>
                <w:sz w:val="21"/>
                <w:szCs w:val="21"/>
                <w:highlight w:val="none"/>
              </w:rPr>
              <w:t>的财务章、部门章、工会章、合同章、投标专用章、业务专用章及银行的转账章、现金收讫章、现金付讫章等</w:t>
            </w:r>
            <w:r>
              <w:rPr>
                <w:rFonts w:hint="eastAsia" w:ascii="宋体" w:hAnsi="宋体" w:cs="宋体"/>
                <w:b w:val="0"/>
                <w:bCs w:val="0"/>
                <w:color w:val="auto"/>
                <w:sz w:val="21"/>
                <w:szCs w:val="21"/>
                <w:highlight w:val="none"/>
                <w:lang w:eastAsia="zh-CN"/>
              </w:rPr>
              <w:t>其他形式</w:t>
            </w:r>
            <w:r>
              <w:rPr>
                <w:rFonts w:hint="eastAsia" w:ascii="宋体" w:hAnsi="宋体" w:eastAsia="宋体" w:cs="宋体"/>
                <w:b w:val="0"/>
                <w:bCs w:val="0"/>
                <w:color w:val="auto"/>
                <w:sz w:val="21"/>
                <w:szCs w:val="21"/>
                <w:highlight w:val="none"/>
              </w:rPr>
              <w:t>印章均不能代替公章。</w:t>
            </w:r>
          </w:p>
        </w:tc>
      </w:tr>
      <w:tr w14:paraId="5CB5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644" w:type="dxa"/>
            <w:noWrap w:val="0"/>
            <w:vAlign w:val="center"/>
          </w:tcPr>
          <w:p w14:paraId="637F1F26">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6</w:t>
            </w:r>
          </w:p>
        </w:tc>
        <w:tc>
          <w:tcPr>
            <w:tcW w:w="1871" w:type="dxa"/>
            <w:noWrap w:val="0"/>
            <w:vAlign w:val="center"/>
          </w:tcPr>
          <w:p w14:paraId="17716B74">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递交</w:t>
            </w:r>
          </w:p>
          <w:p w14:paraId="0B0FDDBE">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时间、地点</w:t>
            </w:r>
          </w:p>
        </w:tc>
        <w:tc>
          <w:tcPr>
            <w:tcW w:w="7185" w:type="dxa"/>
            <w:noWrap w:val="0"/>
            <w:vAlign w:val="center"/>
          </w:tcPr>
          <w:p w14:paraId="4BD6692C">
            <w:pPr>
              <w:spacing w:line="34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地  点：</w:t>
            </w:r>
            <w:r>
              <w:rPr>
                <w:rFonts w:hint="eastAsia" w:ascii="宋体" w:hAnsi="宋体" w:eastAsia="宋体" w:cs="宋体"/>
                <w:b w:val="0"/>
                <w:bCs w:val="0"/>
                <w:color w:val="auto"/>
                <w:sz w:val="21"/>
                <w:szCs w:val="21"/>
                <w:highlight w:val="none"/>
                <w:lang w:val="en-US" w:eastAsia="zh-CN"/>
              </w:rPr>
              <w:t>广西南宁市青秀区凤翔路19号信达大厦9楼</w:t>
            </w:r>
            <w:r>
              <w:rPr>
                <w:rFonts w:hint="eastAsia" w:ascii="宋体" w:hAnsi="宋体" w:cs="宋体"/>
                <w:b w:val="0"/>
                <w:bCs w:val="0"/>
                <w:color w:val="auto"/>
                <w:sz w:val="21"/>
                <w:szCs w:val="21"/>
                <w:highlight w:val="none"/>
                <w:lang w:val="en-US" w:eastAsia="zh-CN"/>
              </w:rPr>
              <w:t>。</w:t>
            </w:r>
          </w:p>
          <w:p w14:paraId="4C5400F4">
            <w:pPr>
              <w:spacing w:line="340" w:lineRule="exact"/>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rPr>
              <w:t>时  间</w:t>
            </w:r>
            <w:r>
              <w:rPr>
                <w:rFonts w:hint="eastAsia" w:ascii="宋体" w:hAnsi="宋体" w:eastAsia="宋体" w:cs="宋体"/>
                <w:b w:val="0"/>
                <w:bCs w:val="0"/>
                <w:color w:val="auto"/>
                <w:sz w:val="21"/>
                <w:szCs w:val="21"/>
                <w:highlight w:val="none"/>
                <w:u w:val="none"/>
                <w:lang w:val="en-US" w:eastAsia="zh-CN"/>
              </w:rPr>
              <w:t>：在202</w:t>
            </w:r>
            <w:r>
              <w:rPr>
                <w:rFonts w:hint="eastAsia" w:ascii="宋体" w:hAnsi="宋体" w:cs="宋体"/>
                <w:b w:val="0"/>
                <w:bCs w:val="0"/>
                <w:color w:val="auto"/>
                <w:sz w:val="21"/>
                <w:szCs w:val="21"/>
                <w:highlight w:val="none"/>
                <w:u w:val="none"/>
                <w:lang w:val="en-US" w:eastAsia="zh-CN"/>
              </w:rPr>
              <w:t>6</w:t>
            </w:r>
            <w:r>
              <w:rPr>
                <w:rFonts w:hint="eastAsia" w:ascii="宋体" w:hAnsi="宋体" w:eastAsia="宋体" w:cs="宋体"/>
                <w:b w:val="0"/>
                <w:bCs w:val="0"/>
                <w:color w:val="auto"/>
                <w:sz w:val="21"/>
                <w:szCs w:val="21"/>
                <w:highlight w:val="none"/>
                <w:u w:val="none"/>
                <w:lang w:val="en-US" w:eastAsia="zh-CN"/>
              </w:rPr>
              <w:t>年</w:t>
            </w:r>
            <w:r>
              <w:rPr>
                <w:rFonts w:hint="eastAsia" w:ascii="宋体" w:hAnsi="宋体" w:cs="宋体"/>
                <w:b w:val="0"/>
                <w:bCs w:val="0"/>
                <w:color w:val="auto"/>
                <w:sz w:val="21"/>
                <w:szCs w:val="21"/>
                <w:highlight w:val="none"/>
                <w:u w:val="none"/>
                <w:lang w:val="en-US" w:eastAsia="zh-CN"/>
              </w:rPr>
              <w:t>11</w:t>
            </w:r>
            <w:r>
              <w:rPr>
                <w:rFonts w:hint="eastAsia" w:ascii="宋体" w:hAnsi="宋体" w:eastAsia="宋体" w:cs="宋体"/>
                <w:b w:val="0"/>
                <w:bCs w:val="0"/>
                <w:color w:val="auto"/>
                <w:sz w:val="21"/>
                <w:szCs w:val="21"/>
                <w:highlight w:val="none"/>
                <w:u w:val="none"/>
                <w:lang w:val="en-US" w:eastAsia="zh-CN"/>
              </w:rPr>
              <w:t>月</w:t>
            </w:r>
            <w:r>
              <w:rPr>
                <w:rFonts w:hint="eastAsia" w:ascii="宋体" w:hAnsi="宋体" w:cs="宋体"/>
                <w:b w:val="0"/>
                <w:bCs w:val="0"/>
                <w:color w:val="auto"/>
                <w:sz w:val="21"/>
                <w:szCs w:val="21"/>
                <w:highlight w:val="none"/>
                <w:u w:val="none"/>
                <w:lang w:val="en-US" w:eastAsia="zh-CN"/>
              </w:rPr>
              <w:t>5</w:t>
            </w:r>
            <w:r>
              <w:rPr>
                <w:rFonts w:hint="eastAsia" w:ascii="宋体" w:hAnsi="宋体" w:eastAsia="宋体" w:cs="宋体"/>
                <w:b w:val="0"/>
                <w:bCs w:val="0"/>
                <w:color w:val="auto"/>
                <w:sz w:val="21"/>
                <w:szCs w:val="21"/>
                <w:highlight w:val="none"/>
                <w:u w:val="none"/>
                <w:lang w:val="en-US" w:eastAsia="zh-CN"/>
              </w:rPr>
              <w:t>日北京时间</w:t>
            </w:r>
            <w:r>
              <w:rPr>
                <w:rFonts w:hint="eastAsia" w:ascii="宋体" w:hAnsi="宋体" w:cs="宋体"/>
                <w:b w:val="0"/>
                <w:bCs w:val="0"/>
                <w:color w:val="auto"/>
                <w:sz w:val="21"/>
                <w:szCs w:val="21"/>
                <w:highlight w:val="none"/>
                <w:u w:val="none"/>
                <w:lang w:val="en-US" w:eastAsia="zh-CN"/>
              </w:rPr>
              <w:t>9点</w:t>
            </w:r>
            <w:r>
              <w:rPr>
                <w:rFonts w:hint="eastAsia" w:ascii="宋体" w:hAnsi="宋体" w:cs="宋体"/>
                <w:b w:val="0"/>
                <w:bCs w:val="0"/>
                <w:color w:val="auto"/>
                <w:sz w:val="21"/>
                <w:szCs w:val="21"/>
                <w:highlight w:val="none"/>
                <w:lang w:val="en-US" w:eastAsia="zh-CN"/>
              </w:rPr>
              <w:t>整（北京时间）</w:t>
            </w:r>
            <w:r>
              <w:rPr>
                <w:rFonts w:hint="eastAsia" w:ascii="宋体" w:hAnsi="宋体" w:eastAsia="宋体" w:cs="宋体"/>
                <w:b w:val="0"/>
                <w:bCs w:val="0"/>
                <w:color w:val="auto"/>
                <w:sz w:val="21"/>
                <w:szCs w:val="21"/>
                <w:highlight w:val="none"/>
              </w:rPr>
              <w:t>前</w:t>
            </w:r>
            <w:r>
              <w:rPr>
                <w:rFonts w:hint="eastAsia" w:ascii="宋体" w:hAnsi="宋体" w:eastAsia="宋体" w:cs="宋体"/>
                <w:b w:val="0"/>
                <w:bCs w:val="0"/>
                <w:color w:val="auto"/>
                <w:sz w:val="21"/>
                <w:szCs w:val="21"/>
                <w:highlight w:val="none"/>
                <w:u w:val="none"/>
                <w:lang w:val="en-US" w:eastAsia="zh-CN"/>
              </w:rPr>
              <w:t>递交</w:t>
            </w:r>
            <w:r>
              <w:rPr>
                <w:rFonts w:hint="eastAsia" w:ascii="宋体" w:hAnsi="宋体" w:cs="宋体"/>
                <w:b w:val="0"/>
                <w:bCs w:val="0"/>
                <w:color w:val="auto"/>
                <w:sz w:val="21"/>
                <w:szCs w:val="21"/>
                <w:highlight w:val="none"/>
                <w:u w:val="none"/>
                <w:lang w:val="en-US" w:eastAsia="zh-CN"/>
              </w:rPr>
              <w:t>响应文件</w:t>
            </w:r>
            <w:r>
              <w:rPr>
                <w:rFonts w:hint="eastAsia" w:ascii="宋体" w:hAnsi="宋体" w:eastAsia="宋体" w:cs="宋体"/>
                <w:b w:val="0"/>
                <w:bCs w:val="0"/>
                <w:color w:val="auto"/>
                <w:sz w:val="21"/>
                <w:szCs w:val="21"/>
                <w:highlight w:val="none"/>
                <w:u w:val="none"/>
                <w:lang w:val="en-US" w:eastAsia="zh-CN"/>
              </w:rPr>
              <w:t>。逾期送达的或者未送达指定地点的</w:t>
            </w:r>
            <w:r>
              <w:rPr>
                <w:rFonts w:hint="eastAsia" w:ascii="宋体" w:hAnsi="宋体" w:cs="宋体"/>
                <w:b w:val="0"/>
                <w:bCs w:val="0"/>
                <w:color w:val="auto"/>
                <w:sz w:val="21"/>
                <w:szCs w:val="21"/>
                <w:highlight w:val="none"/>
                <w:u w:val="none"/>
                <w:lang w:val="en-US" w:eastAsia="zh-CN"/>
              </w:rPr>
              <w:t>响应文件</w:t>
            </w:r>
            <w:r>
              <w:rPr>
                <w:rFonts w:hint="eastAsia" w:ascii="宋体" w:hAnsi="宋体" w:eastAsia="宋体" w:cs="宋体"/>
                <w:b w:val="0"/>
                <w:bCs w:val="0"/>
                <w:color w:val="auto"/>
                <w:sz w:val="21"/>
                <w:szCs w:val="21"/>
                <w:highlight w:val="none"/>
                <w:u w:val="none"/>
                <w:lang w:val="en-US" w:eastAsia="zh-CN"/>
              </w:rPr>
              <w:t>，采购人不予受理。</w:t>
            </w:r>
          </w:p>
        </w:tc>
      </w:tr>
      <w:tr w14:paraId="0D31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4" w:hRule="atLeast"/>
          <w:jc w:val="center"/>
        </w:trPr>
        <w:tc>
          <w:tcPr>
            <w:tcW w:w="644" w:type="dxa"/>
            <w:noWrap w:val="0"/>
            <w:vAlign w:val="center"/>
          </w:tcPr>
          <w:p w14:paraId="398ED224">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7</w:t>
            </w:r>
          </w:p>
        </w:tc>
        <w:tc>
          <w:tcPr>
            <w:tcW w:w="1871" w:type="dxa"/>
            <w:noWrap w:val="0"/>
            <w:vAlign w:val="center"/>
          </w:tcPr>
          <w:p w14:paraId="65932941">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报价材料</w:t>
            </w:r>
          </w:p>
        </w:tc>
        <w:tc>
          <w:tcPr>
            <w:tcW w:w="7185" w:type="dxa"/>
            <w:noWrap w:val="0"/>
            <w:vAlign w:val="center"/>
          </w:tcPr>
          <w:p w14:paraId="470073BE">
            <w:pPr>
              <w:pStyle w:val="5"/>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报价材料包含以下材料：</w:t>
            </w:r>
          </w:p>
          <w:p w14:paraId="07929F59">
            <w:pPr>
              <w:pStyle w:val="5"/>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报价函（附件</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p>
          <w:p w14:paraId="4604DDAA">
            <w:pPr>
              <w:pStyle w:val="5"/>
              <w:ind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资信部分</w:t>
            </w:r>
            <w:r>
              <w:rPr>
                <w:rFonts w:hint="eastAsia" w:ascii="宋体" w:hAnsi="宋体" w:cs="宋体"/>
                <w:color w:val="auto"/>
                <w:szCs w:val="21"/>
                <w:highlight w:val="none"/>
                <w:lang w:eastAsia="zh-CN"/>
              </w:rPr>
              <w:t>：</w:t>
            </w:r>
          </w:p>
          <w:p w14:paraId="229233D9">
            <w:pPr>
              <w:pStyle w:val="5"/>
              <w:ind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color w:val="auto"/>
                <w:szCs w:val="21"/>
                <w:highlight w:val="none"/>
              </w:rPr>
              <w:t>的法人或者其他组织营业执照等证明文件</w:t>
            </w:r>
            <w:r>
              <w:rPr>
                <w:rFonts w:hint="eastAsia" w:ascii="宋体" w:hAnsi="宋体" w:cs="宋体"/>
                <w:color w:val="auto"/>
                <w:szCs w:val="21"/>
                <w:highlight w:val="none"/>
                <w:lang w:eastAsia="zh-CN"/>
              </w:rPr>
              <w:t>。</w:t>
            </w:r>
          </w:p>
          <w:p w14:paraId="7915B596">
            <w:pPr>
              <w:pStyle w:val="5"/>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color w:val="auto"/>
                <w:szCs w:val="21"/>
                <w:highlight w:val="none"/>
              </w:rPr>
              <w:t>参加采购活动前3年内在经营活动中没有重大违法记录的书面声明（</w:t>
            </w:r>
            <w:r>
              <w:rPr>
                <w:rFonts w:hint="eastAsia" w:ascii="宋体" w:hAnsi="宋体" w:eastAsia="宋体" w:cs="宋体"/>
                <w:color w:val="auto"/>
                <w:szCs w:val="21"/>
                <w:highlight w:val="none"/>
                <w:lang w:val="en-US" w:eastAsia="zh-CN"/>
              </w:rPr>
              <w:t>附件</w:t>
            </w:r>
            <w:r>
              <w:rPr>
                <w:rFonts w:hint="eastAsia" w:ascii="宋体" w:hAnsi="宋体" w:cs="宋体"/>
                <w:color w:val="auto"/>
                <w:szCs w:val="21"/>
                <w:highlight w:val="none"/>
                <w:lang w:val="en-US" w:eastAsia="zh-CN"/>
              </w:rPr>
              <w:t>1-3</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p>
          <w:p w14:paraId="47B72226">
            <w:pPr>
              <w:pStyle w:val="5"/>
              <w:ind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color w:val="auto"/>
                <w:szCs w:val="21"/>
                <w:highlight w:val="none"/>
              </w:rPr>
              <w:t>可在“信用中国”网站（www.creditchina.gov.cn）或中国政府采购网（www.ccgp.gov.cn）查询</w:t>
            </w:r>
            <w:r>
              <w:rPr>
                <w:rFonts w:hint="eastAsia" w:ascii="宋体" w:hAnsi="宋体" w:cs="宋体"/>
                <w:b w:val="0"/>
                <w:bCs w:val="0"/>
                <w:color w:val="auto"/>
                <w:sz w:val="21"/>
                <w:szCs w:val="21"/>
                <w:highlight w:val="none"/>
                <w:lang w:val="en-US" w:eastAsia="zh-CN"/>
              </w:rPr>
              <w:t>响应机构</w:t>
            </w:r>
            <w:r>
              <w:rPr>
                <w:rFonts w:hint="eastAsia" w:ascii="宋体" w:hAnsi="宋体" w:eastAsia="宋体" w:cs="宋体"/>
                <w:color w:val="auto"/>
                <w:szCs w:val="21"/>
                <w:highlight w:val="none"/>
              </w:rPr>
              <w:t>主体信用记录，同时将查询结果截图加盖公章</w:t>
            </w:r>
            <w:r>
              <w:rPr>
                <w:rFonts w:hint="eastAsia" w:ascii="宋体" w:hAnsi="宋体" w:eastAsia="宋体" w:cs="宋体"/>
                <w:color w:val="auto"/>
                <w:szCs w:val="21"/>
                <w:highlight w:val="none"/>
                <w:lang w:val="en-US" w:eastAsia="zh-CN"/>
              </w:rPr>
              <w:t>并</w:t>
            </w:r>
            <w:r>
              <w:rPr>
                <w:rFonts w:hint="eastAsia" w:ascii="宋体" w:hAnsi="宋体" w:eastAsia="宋体" w:cs="宋体"/>
                <w:color w:val="auto"/>
                <w:szCs w:val="21"/>
                <w:highlight w:val="none"/>
              </w:rPr>
              <w:t>提交</w:t>
            </w:r>
            <w:r>
              <w:rPr>
                <w:rFonts w:hint="eastAsia" w:ascii="宋体" w:hAnsi="宋体" w:eastAsia="宋体" w:cs="宋体"/>
                <w:color w:val="auto"/>
                <w:szCs w:val="21"/>
                <w:highlight w:val="none"/>
                <w:lang w:eastAsia="zh-CN"/>
              </w:rPr>
              <w:t>。</w:t>
            </w:r>
          </w:p>
          <w:p w14:paraId="1E8BD512">
            <w:pPr>
              <w:pStyle w:val="5"/>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（4）在广西阳光采购服务平台完成招标采购系统注册截图或能接入广西阳光采购服务平台招标采购系统的其他采购系统截图。其他采购系统需佐证其已接入广西阳光采购服务平台招标采购系统。</w:t>
            </w:r>
          </w:p>
          <w:p w14:paraId="7860B4A9">
            <w:pPr>
              <w:pStyle w:val="5"/>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）其他材料。</w:t>
            </w:r>
          </w:p>
          <w:p w14:paraId="79865552">
            <w:pPr>
              <w:pStyle w:val="5"/>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3.响应偏离表（附件1-4）。</w:t>
            </w:r>
          </w:p>
          <w:p w14:paraId="26CAD55F">
            <w:pPr>
              <w:pStyle w:val="5"/>
              <w:ind w:firstLine="0" w:firstLineChars="0"/>
              <w:rPr>
                <w:rFonts w:hint="default" w:ascii="宋体" w:hAnsi="宋体" w:cs="宋体"/>
                <w:color w:val="auto"/>
                <w:szCs w:val="21"/>
                <w:highlight w:val="yellow"/>
                <w:lang w:val="en-US" w:eastAsia="zh-CN"/>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广西民族艺术宫西面扶梯设备更新项目招标代理服务项目评分标准</w:t>
            </w:r>
            <w:r>
              <w:rPr>
                <w:rFonts w:hint="eastAsia" w:ascii="宋体" w:hAnsi="宋体" w:cs="宋体"/>
                <w:color w:val="auto"/>
                <w:szCs w:val="21"/>
                <w:highlight w:val="none"/>
                <w:lang w:val="en-US" w:eastAsia="zh-CN"/>
              </w:rPr>
              <w:t>（附件1-5）评分需要提供的佐证材料。</w:t>
            </w:r>
          </w:p>
        </w:tc>
      </w:tr>
      <w:tr w14:paraId="6C8C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44" w:type="dxa"/>
            <w:noWrap w:val="0"/>
            <w:vAlign w:val="center"/>
          </w:tcPr>
          <w:p w14:paraId="6CF6743D">
            <w:pPr>
              <w:pStyle w:val="8"/>
              <w:spacing w:line="420" w:lineRule="exact"/>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8</w:t>
            </w:r>
          </w:p>
        </w:tc>
        <w:tc>
          <w:tcPr>
            <w:tcW w:w="1871" w:type="dxa"/>
            <w:noWrap w:val="0"/>
            <w:vAlign w:val="center"/>
          </w:tcPr>
          <w:p w14:paraId="7FCB150E">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评审办法</w:t>
            </w:r>
          </w:p>
        </w:tc>
        <w:tc>
          <w:tcPr>
            <w:tcW w:w="7185" w:type="dxa"/>
            <w:noWrap w:val="0"/>
            <w:vAlign w:val="top"/>
          </w:tcPr>
          <w:p w14:paraId="2F4DDB67">
            <w:pPr>
              <w:spacing w:line="340" w:lineRule="exact"/>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采购人组织成立的采购评审</w:t>
            </w:r>
            <w:r>
              <w:rPr>
                <w:rFonts w:hint="eastAsia" w:ascii="宋体" w:hAnsi="宋体" w:eastAsia="宋体" w:cs="宋体"/>
                <w:b w:val="0"/>
                <w:bCs w:val="0"/>
                <w:color w:val="auto"/>
                <w:sz w:val="21"/>
                <w:szCs w:val="21"/>
                <w:highlight w:val="none"/>
              </w:rPr>
              <w:t>小组应当从均满足</w:t>
            </w:r>
            <w:r>
              <w:rPr>
                <w:rFonts w:hint="eastAsia" w:ascii="宋体" w:hAnsi="宋体" w:eastAsia="宋体" w:cs="宋体"/>
                <w:b w:val="0"/>
                <w:bCs w:val="0"/>
                <w:color w:val="auto"/>
                <w:sz w:val="21"/>
                <w:szCs w:val="21"/>
                <w:highlight w:val="none"/>
                <w:lang w:val="en-US" w:eastAsia="zh-CN"/>
              </w:rPr>
              <w:t>本公告</w:t>
            </w:r>
            <w:r>
              <w:rPr>
                <w:rFonts w:hint="eastAsia" w:ascii="宋体" w:hAnsi="宋体" w:eastAsia="宋体" w:cs="宋体"/>
                <w:b w:val="0"/>
                <w:bCs w:val="0"/>
                <w:color w:val="auto"/>
                <w:sz w:val="21"/>
                <w:szCs w:val="21"/>
                <w:highlight w:val="none"/>
              </w:rPr>
              <w:t>全部实质性响应要求的</w:t>
            </w:r>
            <w:r>
              <w:rPr>
                <w:rFonts w:hint="eastAsia" w:ascii="宋体" w:hAnsi="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中，</w:t>
            </w:r>
            <w:r>
              <w:rPr>
                <w:rFonts w:hint="eastAsia" w:ascii="宋体" w:hAnsi="宋体" w:cs="宋体"/>
                <w:b w:val="0"/>
                <w:bCs w:val="0"/>
                <w:color w:val="auto"/>
                <w:sz w:val="21"/>
                <w:szCs w:val="21"/>
                <w:highlight w:val="none"/>
                <w:lang w:val="en-US" w:eastAsia="zh-CN"/>
              </w:rPr>
              <w:t>按照本项目采购文件附件5《广西民族艺术宫西面扶梯设备更新项目招标代理服务项目评分标准》进行综合评分，</w:t>
            </w:r>
            <w:r>
              <w:rPr>
                <w:rFonts w:hint="eastAsia" w:ascii="宋体" w:hAnsi="宋体" w:eastAsia="宋体" w:cs="宋体"/>
                <w:b w:val="0"/>
                <w:bCs w:val="0"/>
                <w:color w:val="auto"/>
                <w:kern w:val="0"/>
                <w:sz w:val="21"/>
                <w:szCs w:val="21"/>
                <w:highlight w:val="none"/>
              </w:rPr>
              <w:t>按照</w:t>
            </w:r>
            <w:r>
              <w:rPr>
                <w:rFonts w:hint="eastAsia" w:ascii="宋体" w:hAnsi="宋体" w:cs="宋体"/>
                <w:b w:val="0"/>
                <w:bCs w:val="0"/>
                <w:color w:val="auto"/>
                <w:kern w:val="0"/>
                <w:sz w:val="21"/>
                <w:szCs w:val="21"/>
                <w:highlight w:val="none"/>
                <w:lang w:val="en-US" w:eastAsia="zh-CN"/>
              </w:rPr>
              <w:t>综合评分</w:t>
            </w:r>
            <w:r>
              <w:rPr>
                <w:rFonts w:hint="eastAsia" w:ascii="宋体" w:hAnsi="宋体" w:eastAsia="宋体" w:cs="宋体"/>
                <w:b w:val="0"/>
                <w:bCs w:val="0"/>
                <w:color w:val="auto"/>
                <w:kern w:val="0"/>
                <w:sz w:val="21"/>
                <w:szCs w:val="21"/>
                <w:highlight w:val="none"/>
              </w:rPr>
              <w:t>由</w:t>
            </w:r>
            <w:r>
              <w:rPr>
                <w:rFonts w:hint="eastAsia" w:ascii="宋体" w:hAnsi="宋体" w:cs="宋体"/>
                <w:b w:val="0"/>
                <w:bCs w:val="0"/>
                <w:color w:val="auto"/>
                <w:kern w:val="0"/>
                <w:sz w:val="21"/>
                <w:szCs w:val="21"/>
                <w:highlight w:val="none"/>
                <w:lang w:val="en-US" w:eastAsia="zh-CN"/>
              </w:rPr>
              <w:t>高</w:t>
            </w:r>
            <w:r>
              <w:rPr>
                <w:rFonts w:hint="eastAsia" w:ascii="宋体" w:hAnsi="宋体" w:eastAsia="宋体" w:cs="宋体"/>
                <w:b w:val="0"/>
                <w:bCs w:val="0"/>
                <w:color w:val="auto"/>
                <w:kern w:val="0"/>
                <w:sz w:val="21"/>
                <w:szCs w:val="21"/>
                <w:highlight w:val="none"/>
              </w:rPr>
              <w:t>到</w:t>
            </w:r>
            <w:r>
              <w:rPr>
                <w:rFonts w:hint="eastAsia" w:ascii="宋体" w:hAnsi="宋体" w:cs="宋体"/>
                <w:b w:val="0"/>
                <w:bCs w:val="0"/>
                <w:color w:val="auto"/>
                <w:kern w:val="0"/>
                <w:sz w:val="21"/>
                <w:szCs w:val="21"/>
                <w:highlight w:val="none"/>
                <w:lang w:val="en-US" w:eastAsia="zh-CN"/>
              </w:rPr>
              <w:t>低</w:t>
            </w:r>
            <w:r>
              <w:rPr>
                <w:rFonts w:hint="eastAsia" w:ascii="宋体" w:hAnsi="宋体" w:eastAsia="宋体" w:cs="宋体"/>
                <w:b w:val="0"/>
                <w:bCs w:val="0"/>
                <w:color w:val="auto"/>
                <w:kern w:val="0"/>
                <w:sz w:val="21"/>
                <w:szCs w:val="21"/>
                <w:highlight w:val="none"/>
              </w:rPr>
              <w:t>顺序提出3名以上（含3名）成交候选人</w:t>
            </w:r>
            <w:r>
              <w:rPr>
                <w:rFonts w:hint="eastAsia" w:ascii="宋体" w:hAnsi="宋体" w:eastAsia="宋体" w:cs="宋体"/>
                <w:b w:val="0"/>
                <w:bCs w:val="0"/>
                <w:color w:val="auto"/>
                <w:kern w:val="0"/>
                <w:sz w:val="21"/>
                <w:szCs w:val="21"/>
                <w:highlight w:val="none"/>
                <w:lang w:eastAsia="zh-CN"/>
              </w:rPr>
              <w:t>。</w:t>
            </w:r>
          </w:p>
        </w:tc>
      </w:tr>
      <w:tr w14:paraId="3512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700D6A44">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9</w:t>
            </w:r>
          </w:p>
        </w:tc>
        <w:tc>
          <w:tcPr>
            <w:tcW w:w="1871" w:type="dxa"/>
            <w:noWrap w:val="0"/>
            <w:vAlign w:val="center"/>
          </w:tcPr>
          <w:p w14:paraId="2D6DC2A4">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确定成交人方式</w:t>
            </w:r>
          </w:p>
        </w:tc>
        <w:tc>
          <w:tcPr>
            <w:tcW w:w="7185" w:type="dxa"/>
            <w:noWrap w:val="0"/>
            <w:vAlign w:val="top"/>
          </w:tcPr>
          <w:p w14:paraId="42880F33">
            <w:pPr>
              <w:spacing w:line="340" w:lineRule="exact"/>
              <w:jc w:val="left"/>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采购</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rPr>
              <w:t>应当确定排名第一的成交候选人为成交供应商。排名第一的成交候选人放弃成交、因不可抗力提出不能履行合同，或因失信行为被取消成交候选人资格的，采购</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rPr>
              <w:t>可以确定排名第二的成交候选人为成交供应商。采购人也可以重新采购</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排名第二的成交候选人因前款规定的同样原因不能签订合同的，采购</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rPr>
              <w:t>可以确定排名第三的成交候选人为成交供应商。采购人也可以重新采购</w:t>
            </w:r>
            <w:r>
              <w:rPr>
                <w:rFonts w:hint="eastAsia" w:ascii="宋体" w:hAnsi="宋体" w:eastAsia="宋体" w:cs="宋体"/>
                <w:b w:val="0"/>
                <w:bCs w:val="0"/>
                <w:color w:val="auto"/>
                <w:sz w:val="21"/>
                <w:szCs w:val="21"/>
                <w:highlight w:val="none"/>
                <w:lang w:eastAsia="zh-CN"/>
              </w:rPr>
              <w:t>。</w:t>
            </w:r>
          </w:p>
        </w:tc>
      </w:tr>
      <w:tr w14:paraId="73F9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3E4AAD52">
            <w:pPr>
              <w:pStyle w:val="8"/>
              <w:spacing w:line="4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20</w:t>
            </w:r>
          </w:p>
        </w:tc>
        <w:tc>
          <w:tcPr>
            <w:tcW w:w="1871" w:type="dxa"/>
            <w:noWrap w:val="0"/>
            <w:vAlign w:val="center"/>
          </w:tcPr>
          <w:p w14:paraId="68DA477F">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成交公告</w:t>
            </w:r>
          </w:p>
        </w:tc>
        <w:tc>
          <w:tcPr>
            <w:tcW w:w="7185" w:type="dxa"/>
            <w:noWrap w:val="0"/>
            <w:vAlign w:val="top"/>
          </w:tcPr>
          <w:p w14:paraId="3322A800">
            <w:pPr>
              <w:spacing w:line="340" w:lineRule="exact"/>
              <w:jc w:val="left"/>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成交公告将在广西国宏经济发展集团有限公司官方网站（网址：https://www.gxghjt.com/news/notice）发布，采购人不再向</w:t>
            </w:r>
            <w:r>
              <w:rPr>
                <w:rFonts w:hint="eastAsia" w:ascii="宋体" w:hAnsi="宋体" w:cs="宋体"/>
                <w:b w:val="0"/>
                <w:bCs w:val="0"/>
                <w:color w:val="auto"/>
                <w:sz w:val="21"/>
                <w:szCs w:val="21"/>
                <w:highlight w:val="none"/>
                <w:lang w:val="en-US" w:eastAsia="zh-CN"/>
              </w:rPr>
              <w:t>项目成交</w:t>
            </w:r>
            <w:r>
              <w:rPr>
                <w:rFonts w:hint="eastAsia" w:ascii="宋体" w:hAnsi="宋体" w:eastAsia="宋体" w:cs="宋体"/>
                <w:b w:val="0"/>
                <w:bCs w:val="0"/>
                <w:color w:val="auto"/>
                <w:sz w:val="21"/>
                <w:szCs w:val="21"/>
                <w:highlight w:val="none"/>
                <w:lang w:val="en-US" w:eastAsia="zh-CN"/>
              </w:rPr>
              <w:t>人</w:t>
            </w:r>
            <w:r>
              <w:rPr>
                <w:rFonts w:hint="eastAsia" w:ascii="宋体" w:hAnsi="宋体" w:cs="宋体"/>
                <w:b w:val="0"/>
                <w:bCs w:val="0"/>
                <w:color w:val="auto"/>
                <w:sz w:val="21"/>
                <w:szCs w:val="21"/>
                <w:highlight w:val="none"/>
                <w:lang w:val="en-US" w:eastAsia="zh-CN"/>
              </w:rPr>
              <w:t>发出</w:t>
            </w:r>
            <w:r>
              <w:rPr>
                <w:rFonts w:hint="eastAsia" w:ascii="宋体" w:hAnsi="宋体" w:eastAsia="宋体" w:cs="宋体"/>
                <w:b w:val="0"/>
                <w:bCs w:val="0"/>
                <w:color w:val="auto"/>
                <w:sz w:val="21"/>
                <w:szCs w:val="21"/>
                <w:highlight w:val="none"/>
                <w:lang w:val="en-US" w:eastAsia="zh-CN"/>
              </w:rPr>
              <w:t>成交通知书。</w:t>
            </w:r>
          </w:p>
        </w:tc>
      </w:tr>
      <w:tr w14:paraId="6C19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76ABDBC7">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21</w:t>
            </w:r>
          </w:p>
        </w:tc>
        <w:tc>
          <w:tcPr>
            <w:tcW w:w="1871" w:type="dxa"/>
            <w:noWrap w:val="0"/>
            <w:vAlign w:val="center"/>
          </w:tcPr>
          <w:p w14:paraId="40593694">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签订合同时间</w:t>
            </w:r>
          </w:p>
        </w:tc>
        <w:tc>
          <w:tcPr>
            <w:tcW w:w="7185" w:type="dxa"/>
            <w:noWrap w:val="0"/>
            <w:vAlign w:val="center"/>
          </w:tcPr>
          <w:p w14:paraId="6F961C0F">
            <w:pPr>
              <w:spacing w:line="340" w:lineRule="exact"/>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成交</w:t>
            </w:r>
            <w:r>
              <w:rPr>
                <w:rFonts w:hint="eastAsia" w:ascii="宋体" w:hAnsi="宋体" w:eastAsia="宋体" w:cs="宋体"/>
                <w:b w:val="0"/>
                <w:bCs w:val="0"/>
                <w:color w:val="auto"/>
                <w:sz w:val="21"/>
                <w:szCs w:val="21"/>
                <w:highlight w:val="none"/>
                <w:lang w:val="en-US" w:eastAsia="zh-CN"/>
              </w:rPr>
              <w:t>人在成交公告发布之日起5个工作日内与采购人签订</w:t>
            </w:r>
            <w:r>
              <w:rPr>
                <w:rFonts w:hint="eastAsia" w:ascii="宋体" w:hAnsi="宋体" w:cs="宋体"/>
                <w:b w:val="0"/>
                <w:bCs w:val="0"/>
                <w:color w:val="auto"/>
                <w:sz w:val="21"/>
                <w:szCs w:val="21"/>
                <w:highlight w:val="none"/>
                <w:lang w:val="en-US" w:eastAsia="zh-CN"/>
              </w:rPr>
              <w:t>招标代理</w:t>
            </w:r>
            <w:r>
              <w:rPr>
                <w:rFonts w:hint="eastAsia" w:ascii="宋体" w:hAnsi="宋体" w:eastAsia="宋体" w:cs="宋体"/>
                <w:b w:val="0"/>
                <w:bCs w:val="0"/>
                <w:color w:val="auto"/>
                <w:sz w:val="21"/>
                <w:szCs w:val="21"/>
                <w:highlight w:val="none"/>
                <w:lang w:val="en-US" w:eastAsia="zh-CN"/>
              </w:rPr>
              <w:t>服务协议</w:t>
            </w:r>
            <w:r>
              <w:rPr>
                <w:rFonts w:hint="eastAsia" w:ascii="宋体" w:hAnsi="宋体" w:cs="宋体"/>
                <w:b w:val="0"/>
                <w:bCs w:val="0"/>
                <w:color w:val="auto"/>
                <w:sz w:val="21"/>
                <w:szCs w:val="21"/>
                <w:highlight w:val="none"/>
                <w:lang w:val="en-US" w:eastAsia="zh-CN"/>
              </w:rPr>
              <w:t>。</w:t>
            </w:r>
          </w:p>
        </w:tc>
      </w:tr>
      <w:tr w14:paraId="2B3B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7A8739B3">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w:t>
            </w:r>
          </w:p>
        </w:tc>
        <w:tc>
          <w:tcPr>
            <w:tcW w:w="1871" w:type="dxa"/>
            <w:noWrap w:val="0"/>
            <w:vAlign w:val="center"/>
          </w:tcPr>
          <w:p w14:paraId="62506BDA">
            <w:pPr>
              <w:wordWrap/>
              <w:topLinePunct w:val="0"/>
              <w:snapToGrid/>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color w:val="auto"/>
                <w:szCs w:val="21"/>
                <w:highlight w:val="none"/>
              </w:rPr>
              <w:t>项目</w:t>
            </w:r>
            <w:r>
              <w:rPr>
                <w:rFonts w:hint="eastAsia" w:ascii="宋体" w:hAnsi="宋体" w:cs="宋体"/>
                <w:b w:val="0"/>
                <w:color w:val="auto"/>
                <w:szCs w:val="21"/>
                <w:highlight w:val="none"/>
                <w:lang w:val="en-US" w:eastAsia="zh-CN"/>
              </w:rPr>
              <w:t>服务期限</w:t>
            </w:r>
          </w:p>
        </w:tc>
        <w:tc>
          <w:tcPr>
            <w:tcW w:w="7185" w:type="dxa"/>
            <w:noWrap w:val="0"/>
            <w:vAlign w:val="center"/>
          </w:tcPr>
          <w:p w14:paraId="1761318E">
            <w:pPr>
              <w:wordWrap/>
              <w:topLinePunct w:val="0"/>
              <w:snapToGrid/>
              <w:spacing w:line="340" w:lineRule="exact"/>
              <w:jc w:val="left"/>
              <w:rPr>
                <w:rFonts w:hint="default"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采购人与项目成交人签订服务协议之日起至完成招标项目定标、中标合同签订、档案移交采购人止</w:t>
            </w:r>
            <w:r>
              <w:rPr>
                <w:rFonts w:hint="eastAsia" w:ascii="宋体" w:hAnsi="宋体" w:cs="宋体"/>
                <w:b w:val="0"/>
                <w:bCs w:val="0"/>
                <w:color w:val="auto"/>
                <w:sz w:val="21"/>
                <w:szCs w:val="21"/>
                <w:highlight w:val="none"/>
                <w:lang w:val="en-US" w:eastAsia="zh-CN"/>
              </w:rPr>
              <w:t>。</w:t>
            </w:r>
          </w:p>
        </w:tc>
      </w:tr>
      <w:tr w14:paraId="29F9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1075957B">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3</w:t>
            </w:r>
          </w:p>
        </w:tc>
        <w:tc>
          <w:tcPr>
            <w:tcW w:w="1871" w:type="dxa"/>
            <w:noWrap w:val="0"/>
            <w:vAlign w:val="center"/>
          </w:tcPr>
          <w:p w14:paraId="7A5C5272">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联系人</w:t>
            </w:r>
          </w:p>
        </w:tc>
        <w:tc>
          <w:tcPr>
            <w:tcW w:w="7185" w:type="dxa"/>
            <w:noWrap w:val="0"/>
            <w:vAlign w:val="center"/>
          </w:tcPr>
          <w:p w14:paraId="407A6B52">
            <w:pPr>
              <w:spacing w:line="340" w:lineRule="exact"/>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业务咨询联系人：</w:t>
            </w:r>
            <w:r>
              <w:rPr>
                <w:rFonts w:hint="eastAsia" w:ascii="宋体" w:hAnsi="宋体" w:cs="宋体"/>
                <w:color w:val="auto"/>
                <w:szCs w:val="21"/>
                <w:highlight w:val="none"/>
                <w:lang w:val="en-US" w:eastAsia="zh-CN"/>
              </w:rPr>
              <w:t>周先生</w:t>
            </w:r>
            <w:r>
              <w:rPr>
                <w:rFonts w:hint="eastAsia" w:ascii="宋体" w:hAnsi="宋体" w:eastAsia="宋体" w:cs="宋体"/>
                <w:color w:val="auto"/>
                <w:szCs w:val="21"/>
                <w:highlight w:val="none"/>
                <w:lang w:val="en-US" w:eastAsia="zh-CN"/>
              </w:rPr>
              <w:t>，电话：</w:t>
            </w:r>
            <w:r>
              <w:rPr>
                <w:rFonts w:hint="eastAsia" w:ascii="宋体" w:hAnsi="宋体" w:cs="宋体"/>
                <w:color w:val="auto"/>
                <w:szCs w:val="21"/>
                <w:highlight w:val="none"/>
                <w:lang w:val="en-US" w:eastAsia="zh-CN"/>
              </w:rPr>
              <w:t>0771-2223991</w:t>
            </w:r>
          </w:p>
          <w:p w14:paraId="1E1B75CA">
            <w:pPr>
              <w:spacing w:line="340" w:lineRule="exact"/>
              <w:ind w:left="0" w:firstLine="0" w:firstLineChars="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报价材料接收人：</w:t>
            </w:r>
            <w:r>
              <w:rPr>
                <w:rFonts w:hint="eastAsia" w:ascii="宋体" w:hAnsi="宋体" w:cs="宋体"/>
                <w:color w:val="auto"/>
                <w:szCs w:val="21"/>
                <w:highlight w:val="none"/>
                <w:lang w:val="en-US" w:eastAsia="zh-CN"/>
              </w:rPr>
              <w:t>黄女士</w:t>
            </w:r>
            <w:r>
              <w:rPr>
                <w:rFonts w:hint="eastAsia" w:ascii="宋体" w:hAnsi="宋体" w:eastAsia="宋体" w:cs="宋体"/>
                <w:color w:val="auto"/>
                <w:szCs w:val="21"/>
                <w:highlight w:val="none"/>
                <w:lang w:val="en-US" w:eastAsia="zh-CN"/>
              </w:rPr>
              <w:t xml:space="preserve">，电话：15878800012                          </w:t>
            </w:r>
          </w:p>
        </w:tc>
      </w:tr>
      <w:tr w14:paraId="5C31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7045A37C">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24</w:t>
            </w:r>
          </w:p>
        </w:tc>
        <w:tc>
          <w:tcPr>
            <w:tcW w:w="1871" w:type="dxa"/>
            <w:noWrap w:val="0"/>
            <w:vAlign w:val="center"/>
          </w:tcPr>
          <w:p w14:paraId="7F2C3F4A">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Cs w:val="21"/>
                <w:highlight w:val="none"/>
                <w:lang w:val="en-US" w:eastAsia="zh-CN"/>
              </w:rPr>
              <w:t>监督方式</w:t>
            </w:r>
          </w:p>
        </w:tc>
        <w:tc>
          <w:tcPr>
            <w:tcW w:w="7185" w:type="dxa"/>
            <w:noWrap w:val="0"/>
            <w:vAlign w:val="center"/>
          </w:tcPr>
          <w:p w14:paraId="162CDAF8">
            <w:pPr>
              <w:spacing w:line="340" w:lineRule="exact"/>
              <w:ind w:left="0" w:firstLine="0" w:firstLineChars="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来信请寄：广西南宁市青秀区凤翔路19号信达大厦8楼国宏集团纪检监察室</w:t>
            </w:r>
          </w:p>
          <w:p w14:paraId="73102110">
            <w:pPr>
              <w:spacing w:line="340" w:lineRule="exact"/>
              <w:ind w:left="0" w:firstLine="0" w:firstLineChars="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邮    编：530022</w:t>
            </w:r>
          </w:p>
          <w:p w14:paraId="71ED9F8B">
            <w:pPr>
              <w:spacing w:line="340" w:lineRule="exact"/>
              <w:ind w:left="0" w:firstLine="0" w:firstLineChars="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来访请到：广西南宁市青秀区凤翔路19号信达大厦8楼808室</w:t>
            </w:r>
          </w:p>
          <w:p w14:paraId="69625A2F">
            <w:pPr>
              <w:spacing w:line="340" w:lineRule="exact"/>
              <w:ind w:left="0" w:firstLine="0" w:firstLineChars="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联系电话：（0771）5896</w:t>
            </w:r>
          </w:p>
        </w:tc>
      </w:tr>
      <w:tr w14:paraId="35C2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44" w:type="dxa"/>
            <w:noWrap w:val="0"/>
            <w:vAlign w:val="center"/>
          </w:tcPr>
          <w:p w14:paraId="2C1BB915">
            <w:pPr>
              <w:pStyle w:val="8"/>
              <w:spacing w:line="4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5</w:t>
            </w:r>
          </w:p>
        </w:tc>
        <w:tc>
          <w:tcPr>
            <w:tcW w:w="1871" w:type="dxa"/>
            <w:noWrap w:val="0"/>
            <w:vAlign w:val="center"/>
          </w:tcPr>
          <w:p w14:paraId="2B3C4E5F">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解释权</w:t>
            </w:r>
          </w:p>
        </w:tc>
        <w:tc>
          <w:tcPr>
            <w:tcW w:w="7185" w:type="dxa"/>
            <w:noWrap w:val="0"/>
            <w:vAlign w:val="center"/>
          </w:tcPr>
          <w:p w14:paraId="5046CEA4">
            <w:pPr>
              <w:spacing w:line="3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本</w:t>
            </w:r>
            <w:r>
              <w:rPr>
                <w:rFonts w:hint="eastAsia" w:ascii="宋体" w:hAnsi="宋体" w:cs="宋体"/>
                <w:b w:val="0"/>
                <w:bCs w:val="0"/>
                <w:color w:val="auto"/>
                <w:sz w:val="21"/>
                <w:szCs w:val="21"/>
                <w:highlight w:val="none"/>
                <w:lang w:val="en-US" w:eastAsia="zh-CN"/>
              </w:rPr>
              <w:t>项目采购文件</w:t>
            </w:r>
            <w:r>
              <w:rPr>
                <w:rFonts w:hint="eastAsia" w:ascii="宋体" w:hAnsi="宋体" w:eastAsia="宋体" w:cs="宋体"/>
                <w:b w:val="0"/>
                <w:bCs w:val="0"/>
                <w:color w:val="auto"/>
                <w:sz w:val="21"/>
                <w:szCs w:val="21"/>
                <w:highlight w:val="none"/>
              </w:rPr>
              <w:t>的解释权属于</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rPr>
              <w:t>。</w:t>
            </w:r>
          </w:p>
        </w:tc>
      </w:tr>
    </w:tbl>
    <w:p w14:paraId="176990D5">
      <w:pPr>
        <w:spacing w:line="560" w:lineRule="exact"/>
        <w:ind w:firstLine="640" w:firstLineChars="200"/>
        <w:jc w:val="left"/>
        <w:outlineLvl w:val="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贵单位若有意向，</w:t>
      </w:r>
      <w:r>
        <w:rPr>
          <w:rFonts w:hint="eastAsia" w:ascii="宋体" w:hAnsi="宋体" w:eastAsia="宋体" w:cs="宋体"/>
          <w:b w:val="0"/>
          <w:bCs w:val="0"/>
          <w:color w:val="auto"/>
          <w:sz w:val="32"/>
          <w:szCs w:val="32"/>
          <w:highlight w:val="none"/>
          <w:lang w:eastAsia="zh-CN"/>
        </w:rPr>
        <w:t>请</w:t>
      </w:r>
      <w:r>
        <w:rPr>
          <w:rFonts w:hint="eastAsia" w:ascii="宋体" w:hAnsi="宋体" w:eastAsia="宋体" w:cs="宋体"/>
          <w:b w:val="0"/>
          <w:bCs w:val="0"/>
          <w:color w:val="auto"/>
          <w:sz w:val="32"/>
          <w:szCs w:val="32"/>
          <w:highlight w:val="none"/>
          <w:lang w:val="en-US" w:eastAsia="zh-CN"/>
        </w:rPr>
        <w:t>按上述要求按时提交响应文件。</w:t>
      </w:r>
    </w:p>
    <w:p w14:paraId="38A4C9DF">
      <w:pPr>
        <w:spacing w:line="560" w:lineRule="exact"/>
        <w:ind w:firstLine="640" w:firstLineChars="200"/>
        <w:jc w:val="left"/>
        <w:outlineLvl w:val="0"/>
        <w:rPr>
          <w:rFonts w:hint="eastAsia" w:ascii="宋体" w:hAnsi="宋体" w:cs="宋体"/>
          <w:b w:val="0"/>
          <w:bCs w:val="0"/>
          <w:color w:val="auto"/>
          <w:sz w:val="32"/>
          <w:szCs w:val="32"/>
          <w:highlight w:val="none"/>
          <w:lang w:eastAsia="zh-CN"/>
        </w:rPr>
      </w:pPr>
    </w:p>
    <w:p w14:paraId="0D249DBF">
      <w:pPr>
        <w:spacing w:line="560" w:lineRule="exact"/>
        <w:ind w:firstLine="640" w:firstLineChars="200"/>
        <w:jc w:val="left"/>
        <w:outlineLvl w:val="0"/>
        <w:rPr>
          <w:rFonts w:hint="eastAsia" w:ascii="宋体" w:hAnsi="宋体" w:cs="宋体"/>
          <w:b w:val="0"/>
          <w:bCs w:val="0"/>
          <w:color w:val="auto"/>
          <w:sz w:val="32"/>
          <w:szCs w:val="32"/>
          <w:highlight w:val="none"/>
          <w:lang w:val="en-US" w:eastAsia="zh-CN"/>
        </w:rPr>
      </w:pPr>
      <w:r>
        <w:rPr>
          <w:rFonts w:hint="eastAsia" w:ascii="宋体" w:hAnsi="宋体" w:cs="宋体"/>
          <w:b w:val="0"/>
          <w:bCs w:val="0"/>
          <w:color w:val="auto"/>
          <w:sz w:val="32"/>
          <w:szCs w:val="32"/>
          <w:highlight w:val="none"/>
          <w:lang w:eastAsia="zh-CN"/>
        </w:rPr>
        <w:t>附件：</w:t>
      </w:r>
      <w:r>
        <w:rPr>
          <w:rFonts w:hint="eastAsia" w:ascii="宋体" w:hAnsi="宋体" w:cs="宋体"/>
          <w:b w:val="0"/>
          <w:bCs w:val="0"/>
          <w:color w:val="auto"/>
          <w:sz w:val="32"/>
          <w:szCs w:val="32"/>
          <w:highlight w:val="none"/>
          <w:lang w:val="en-US" w:eastAsia="zh-CN"/>
        </w:rPr>
        <w:t>1.</w:t>
      </w:r>
      <w:r>
        <w:rPr>
          <w:rFonts w:hint="eastAsia" w:ascii="宋体" w:hAnsi="宋体" w:cs="宋体"/>
          <w:b w:val="0"/>
          <w:bCs w:val="0"/>
          <w:color w:val="auto"/>
          <w:sz w:val="32"/>
          <w:szCs w:val="32"/>
          <w:highlight w:val="none"/>
          <w:lang w:val="en-US" w:eastAsia="zh-CN"/>
        </w:rPr>
        <w:t>报价文件（封面）</w:t>
      </w:r>
    </w:p>
    <w:p w14:paraId="1C9CC49F">
      <w:pPr>
        <w:pStyle w:val="2"/>
        <w:spacing w:after="0" w:line="560" w:lineRule="exact"/>
        <w:ind w:firstLine="1248" w:firstLineChars="400"/>
        <w:rPr>
          <w:rFonts w:hint="eastAsia" w:ascii="宋体" w:hAnsi="宋体" w:cs="宋体"/>
          <w:b w:val="0"/>
          <w:bCs w:val="0"/>
          <w:color w:val="auto"/>
          <w:sz w:val="32"/>
          <w:szCs w:val="32"/>
          <w:highlight w:val="none"/>
          <w:lang w:val="en-US" w:eastAsia="zh-CN"/>
        </w:rPr>
      </w:pPr>
      <w:r>
        <w:rPr>
          <w:rFonts w:hint="eastAsia" w:ascii="宋体" w:hAnsi="宋体" w:cs="宋体"/>
          <w:b w:val="0"/>
          <w:bCs w:val="0"/>
          <w:color w:val="auto"/>
          <w:sz w:val="32"/>
          <w:szCs w:val="32"/>
          <w:highlight w:val="none"/>
          <w:lang w:val="en-US" w:eastAsia="zh-CN"/>
        </w:rPr>
        <w:t>2.报价函（格式）</w:t>
      </w:r>
    </w:p>
    <w:p w14:paraId="64937697">
      <w:pPr>
        <w:pStyle w:val="2"/>
        <w:spacing w:after="0" w:line="560" w:lineRule="exact"/>
        <w:ind w:left="1914" w:leftChars="793" w:hanging="249" w:hangingChars="80"/>
        <w:rPr>
          <w:rFonts w:hint="eastAsia" w:ascii="宋体" w:hAnsi="宋体" w:cs="宋体"/>
          <w:b w:val="0"/>
          <w:bCs w:val="0"/>
          <w:color w:val="auto"/>
          <w:sz w:val="32"/>
          <w:szCs w:val="32"/>
          <w:highlight w:val="none"/>
          <w:lang w:val="en-US" w:eastAsia="zh-CN"/>
        </w:rPr>
      </w:pPr>
      <w:r>
        <w:rPr>
          <w:rFonts w:hint="eastAsia" w:ascii="宋体" w:hAnsi="宋体" w:cs="宋体"/>
          <w:b w:val="0"/>
          <w:bCs w:val="0"/>
          <w:color w:val="auto"/>
          <w:sz w:val="32"/>
          <w:szCs w:val="32"/>
          <w:highlight w:val="none"/>
          <w:lang w:val="en-US" w:eastAsia="zh-CN"/>
        </w:rPr>
        <w:t>3.响应机构参加项目采购活动前3年内在经营活动中没有重大违法记录的书面声明</w:t>
      </w:r>
    </w:p>
    <w:p w14:paraId="529D4C96">
      <w:pPr>
        <w:pStyle w:val="2"/>
        <w:spacing w:after="0" w:line="560" w:lineRule="exact"/>
        <w:ind w:firstLine="1248" w:firstLineChars="400"/>
        <w:rPr>
          <w:rFonts w:hint="eastAsia" w:ascii="宋体" w:hAnsi="宋体" w:cs="宋体"/>
          <w:b w:val="0"/>
          <w:bCs w:val="0"/>
          <w:color w:val="auto"/>
          <w:sz w:val="32"/>
          <w:szCs w:val="32"/>
          <w:highlight w:val="none"/>
          <w:lang w:val="en-US" w:eastAsia="zh-CN"/>
        </w:rPr>
      </w:pPr>
      <w:r>
        <w:rPr>
          <w:rFonts w:hint="eastAsia" w:ascii="宋体" w:hAnsi="宋体" w:cs="宋体"/>
          <w:b w:val="0"/>
          <w:bCs w:val="0"/>
          <w:color w:val="auto"/>
          <w:sz w:val="32"/>
          <w:szCs w:val="32"/>
          <w:highlight w:val="none"/>
          <w:lang w:val="en-US" w:eastAsia="zh-CN"/>
        </w:rPr>
        <w:t>4.响应偏离表</w:t>
      </w:r>
    </w:p>
    <w:p w14:paraId="625DDED5">
      <w:pPr>
        <w:pStyle w:val="2"/>
        <w:spacing w:after="0" w:line="560" w:lineRule="exact"/>
        <w:ind w:left="1897" w:leftChars="794" w:hanging="230" w:hangingChars="74"/>
        <w:rPr>
          <w:rFonts w:hint="eastAsia" w:ascii="宋体" w:hAnsi="宋体" w:cs="宋体"/>
          <w:b w:val="0"/>
          <w:bCs w:val="0"/>
          <w:color w:val="auto"/>
          <w:sz w:val="32"/>
          <w:szCs w:val="32"/>
          <w:highlight w:val="none"/>
          <w:lang w:val="en-US" w:eastAsia="zh-CN"/>
        </w:rPr>
      </w:pPr>
      <w:r>
        <w:rPr>
          <w:rFonts w:hint="eastAsia" w:ascii="宋体" w:hAnsi="宋体" w:cs="宋体"/>
          <w:b w:val="0"/>
          <w:bCs w:val="0"/>
          <w:color w:val="auto"/>
          <w:sz w:val="32"/>
          <w:szCs w:val="32"/>
          <w:highlight w:val="none"/>
          <w:lang w:val="en-US" w:eastAsia="zh-CN"/>
        </w:rPr>
        <w:t>5</w:t>
      </w:r>
      <w:r>
        <w:rPr>
          <w:rFonts w:hint="eastAsia" w:ascii="宋体" w:hAnsi="宋体" w:cs="宋体"/>
          <w:b w:val="0"/>
          <w:bCs w:val="0"/>
          <w:color w:val="auto"/>
          <w:sz w:val="32"/>
          <w:szCs w:val="32"/>
          <w:highlight w:val="none"/>
          <w:lang w:val="en-US" w:eastAsia="zh-CN"/>
        </w:rPr>
        <w:t>.</w:t>
      </w:r>
      <w:r>
        <w:rPr>
          <w:rFonts w:hint="eastAsia" w:ascii="宋体" w:hAnsi="宋体" w:cs="宋体"/>
          <w:b w:val="0"/>
          <w:bCs w:val="0"/>
          <w:color w:val="auto"/>
          <w:sz w:val="32"/>
          <w:szCs w:val="32"/>
          <w:highlight w:val="none"/>
          <w:lang w:val="en-US" w:eastAsia="zh-CN"/>
        </w:rPr>
        <w:t>广西民族艺术宫西面扶梯设备更新项目招标代理服务项目评分标准</w:t>
      </w:r>
    </w:p>
    <w:p w14:paraId="6590D75A">
      <w:pPr>
        <w:spacing w:line="560" w:lineRule="exact"/>
        <w:ind w:firstLine="640" w:firstLineChars="200"/>
        <w:jc w:val="left"/>
        <w:outlineLvl w:val="0"/>
        <w:rPr>
          <w:rFonts w:hint="default" w:ascii="宋体" w:hAnsi="宋体" w:eastAsia="宋体" w:cs="宋体"/>
          <w:b w:val="0"/>
          <w:bCs w:val="0"/>
          <w:color w:val="auto"/>
          <w:sz w:val="32"/>
          <w:szCs w:val="32"/>
          <w:highlight w:val="none"/>
          <w:lang w:val="en-US" w:eastAsia="zh-CN"/>
        </w:rPr>
      </w:pPr>
    </w:p>
    <w:p w14:paraId="21EC260C">
      <w:pPr>
        <w:pStyle w:val="2"/>
        <w:spacing w:after="0" w:line="560" w:lineRule="exact"/>
        <w:rPr>
          <w:rFonts w:hint="eastAsia"/>
          <w:sz w:val="32"/>
          <w:szCs w:val="32"/>
        </w:rPr>
      </w:pPr>
    </w:p>
    <w:p w14:paraId="1ECC9E17">
      <w:pPr>
        <w:spacing w:line="560" w:lineRule="exact"/>
        <w:ind w:firstLine="640" w:firstLineChars="200"/>
        <w:jc w:val="right"/>
        <w:rPr>
          <w:rFonts w:hint="default" w:ascii="宋体" w:hAnsi="宋体" w:eastAsia="宋体" w:cs="宋体"/>
          <w:sz w:val="32"/>
          <w:szCs w:val="32"/>
          <w:lang w:val="en-US" w:eastAsia="zh-CN"/>
        </w:rPr>
      </w:pPr>
      <w:r>
        <w:rPr>
          <w:rFonts w:hint="eastAsia" w:ascii="宋体" w:hAnsi="宋体" w:cs="宋体"/>
          <w:sz w:val="32"/>
          <w:szCs w:val="32"/>
          <w:lang w:val="en-US" w:eastAsia="zh-CN"/>
        </w:rPr>
        <w:t>广西国宏经济发展集团有限公司</w:t>
      </w:r>
    </w:p>
    <w:p w14:paraId="344FBA7E">
      <w:pPr>
        <w:spacing w:line="560" w:lineRule="exact"/>
        <w:ind w:firstLine="640" w:firstLineChars="200"/>
        <w:jc w:val="center"/>
        <w:rPr>
          <w:rFonts w:ascii="仿宋_GB2312" w:hAnsi="??_GB2312" w:eastAsia="仿宋_GB2312" w:cs="宋体"/>
          <w:color w:val="000000"/>
          <w:kern w:val="0"/>
          <w:sz w:val="32"/>
          <w:szCs w:val="32"/>
          <w:lang w:val="zh-CN"/>
        </w:rPr>
      </w:pPr>
      <w:r>
        <w:rPr>
          <w:rFonts w:hint="eastAsia" w:ascii="宋体" w:hAnsi="宋体" w:cs="宋体"/>
          <w:sz w:val="32"/>
          <w:szCs w:val="32"/>
          <w:lang w:val="en-US" w:eastAsia="zh-CN"/>
        </w:rPr>
        <w:t xml:space="preserve">                          2026</w:t>
      </w:r>
      <w:r>
        <w:rPr>
          <w:rFonts w:hint="eastAsia" w:ascii="宋体" w:hAnsi="宋体" w:cs="宋体"/>
          <w:sz w:val="32"/>
          <w:szCs w:val="32"/>
        </w:rPr>
        <w:t>年</w:t>
      </w:r>
      <w:r>
        <w:rPr>
          <w:rFonts w:hint="eastAsia" w:ascii="宋体" w:hAnsi="宋体" w:cs="宋体"/>
          <w:sz w:val="32"/>
          <w:szCs w:val="32"/>
          <w:lang w:val="en-US" w:eastAsia="zh-CN"/>
        </w:rPr>
        <w:t>10</w:t>
      </w:r>
      <w:r>
        <w:rPr>
          <w:rFonts w:hint="eastAsia" w:ascii="宋体" w:hAnsi="宋体" w:cs="宋体"/>
          <w:sz w:val="32"/>
          <w:szCs w:val="32"/>
        </w:rPr>
        <w:t>月</w:t>
      </w:r>
      <w:r>
        <w:rPr>
          <w:rFonts w:hint="eastAsia" w:ascii="宋体" w:hAnsi="宋体" w:cs="宋体"/>
          <w:sz w:val="32"/>
          <w:szCs w:val="32"/>
          <w:lang w:val="en-US" w:eastAsia="zh-CN"/>
        </w:rPr>
        <w:t>30</w:t>
      </w:r>
      <w:r>
        <w:rPr>
          <w:rFonts w:hint="eastAsia" w:ascii="宋体" w:hAnsi="宋体" w:cs="宋体"/>
          <w:sz w:val="32"/>
          <w:szCs w:val="32"/>
        </w:rPr>
        <w:t>日</w:t>
      </w:r>
    </w:p>
    <w:p w14:paraId="718B19D1">
      <w:pPr>
        <w:spacing w:line="440" w:lineRule="atLeast"/>
        <w:jc w:val="center"/>
        <w:rPr>
          <w:rFonts w:hint="eastAsia" w:hAnsi="宋体"/>
          <w:b/>
          <w:color w:val="auto"/>
          <w:sz w:val="32"/>
          <w:szCs w:val="32"/>
          <w:highlight w:val="none"/>
        </w:rPr>
      </w:pPr>
    </w:p>
    <w:p w14:paraId="015282A7">
      <w:pPr>
        <w:pStyle w:val="8"/>
        <w:jc w:val="center"/>
        <w:rPr>
          <w:rFonts w:hint="eastAsia" w:hAnsi="宋体"/>
          <w:b/>
          <w:color w:val="auto"/>
          <w:sz w:val="24"/>
          <w:szCs w:val="24"/>
          <w:highlight w:val="none"/>
        </w:rPr>
      </w:pPr>
    </w:p>
    <w:p w14:paraId="6F1138F4">
      <w:pPr>
        <w:pStyle w:val="8"/>
        <w:jc w:val="center"/>
        <w:rPr>
          <w:rFonts w:hint="eastAsia" w:hAnsi="宋体"/>
          <w:b/>
          <w:color w:val="auto"/>
          <w:sz w:val="24"/>
          <w:szCs w:val="24"/>
          <w:highlight w:val="none"/>
        </w:rPr>
      </w:pPr>
    </w:p>
    <w:p w14:paraId="3B1B0844">
      <w:pPr>
        <w:pStyle w:val="8"/>
        <w:jc w:val="center"/>
        <w:rPr>
          <w:rFonts w:hint="eastAsia" w:hAnsi="宋体"/>
          <w:b/>
          <w:color w:val="auto"/>
          <w:sz w:val="24"/>
          <w:szCs w:val="24"/>
          <w:highlight w:val="none"/>
        </w:rPr>
      </w:pPr>
    </w:p>
    <w:p w14:paraId="063C68DA">
      <w:pPr>
        <w:jc w:val="center"/>
        <w:rPr>
          <w:rFonts w:hint="eastAsia" w:hAnsi="宋体"/>
          <w:b/>
          <w:color w:val="auto"/>
          <w:sz w:val="24"/>
          <w:szCs w:val="24"/>
          <w:highlight w:val="none"/>
        </w:rPr>
      </w:pPr>
      <w:r>
        <w:rPr>
          <w:rFonts w:hint="eastAsia" w:hAnsi="宋体"/>
          <w:b/>
          <w:color w:val="auto"/>
          <w:sz w:val="24"/>
          <w:szCs w:val="24"/>
          <w:highlight w:val="none"/>
        </w:rPr>
        <w:br w:type="page"/>
      </w:r>
    </w:p>
    <w:p w14:paraId="4A61691D">
      <w:pPr>
        <w:pStyle w:val="8"/>
        <w:jc w:val="center"/>
        <w:rPr>
          <w:rFonts w:hint="eastAsia" w:hAnsi="宋体"/>
          <w:b/>
          <w:color w:val="auto"/>
          <w:sz w:val="24"/>
          <w:szCs w:val="24"/>
          <w:highlight w:val="none"/>
        </w:rPr>
      </w:pPr>
    </w:p>
    <w:p w14:paraId="718A2DBE">
      <w:pP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附件1</w:t>
      </w:r>
    </w:p>
    <w:p w14:paraId="0D651B8A">
      <w:pPr>
        <w:rPr>
          <w:rFonts w:hint="eastAsia" w:hAnsi="宋体"/>
          <w:b/>
          <w:bCs/>
          <w:color w:val="auto"/>
          <w:sz w:val="24"/>
          <w:szCs w:val="24"/>
          <w:highlight w:val="none"/>
        </w:rPr>
      </w:pPr>
    </w:p>
    <w:p w14:paraId="24664553">
      <w:pPr>
        <w:jc w:val="center"/>
        <w:rPr>
          <w:rFonts w:hint="eastAsia" w:hAnsi="宋体" w:eastAsia="宋体"/>
          <w:b/>
          <w:bCs/>
          <w:color w:val="auto"/>
          <w:sz w:val="24"/>
          <w:szCs w:val="24"/>
          <w:highlight w:val="none"/>
          <w:lang w:eastAsia="zh-CN"/>
        </w:rPr>
      </w:pPr>
      <w:r>
        <w:rPr>
          <w:rFonts w:hint="eastAsia" w:hAnsi="宋体"/>
          <w:b/>
          <w:bCs/>
          <w:color w:val="auto"/>
          <w:sz w:val="24"/>
          <w:szCs w:val="24"/>
          <w:highlight w:val="none"/>
        </w:rPr>
        <w:t>报 价 文 件</w:t>
      </w:r>
      <w:r>
        <w:rPr>
          <w:rFonts w:hint="eastAsia" w:hAnsi="宋体"/>
          <w:b/>
          <w:bCs/>
          <w:color w:val="auto"/>
          <w:sz w:val="24"/>
          <w:szCs w:val="24"/>
          <w:highlight w:val="none"/>
          <w:lang w:eastAsia="zh-CN"/>
        </w:rPr>
        <w:t>（封面）</w:t>
      </w:r>
    </w:p>
    <w:p w14:paraId="3D59ED75">
      <w:pPr>
        <w:ind w:firstLine="1800" w:firstLineChars="750"/>
        <w:rPr>
          <w:rFonts w:hint="eastAsia" w:hAnsi="宋体"/>
          <w:bCs/>
          <w:color w:val="auto"/>
          <w:sz w:val="24"/>
          <w:szCs w:val="24"/>
          <w:highlight w:val="none"/>
        </w:rPr>
      </w:pPr>
    </w:p>
    <w:p w14:paraId="79A37BC6">
      <w:pPr>
        <w:pStyle w:val="15"/>
        <w:jc w:val="center"/>
        <w:rPr>
          <w:rFonts w:hint="eastAsia" w:hAnsi="宋体"/>
          <w:bCs/>
          <w:color w:val="auto"/>
          <w:sz w:val="24"/>
          <w:szCs w:val="24"/>
          <w:highlight w:val="none"/>
        </w:rPr>
      </w:pPr>
      <w:r>
        <w:rPr>
          <w:rFonts w:hint="eastAsia" w:hAnsi="宋体"/>
          <w:bCs/>
          <w:color w:val="auto"/>
          <w:sz w:val="24"/>
          <w:szCs w:val="24"/>
          <w:highlight w:val="none"/>
        </w:rPr>
        <w:t>项目名称：</w:t>
      </w:r>
      <w:r>
        <w:rPr>
          <w:rFonts w:hint="eastAsia" w:hAnsi="宋体"/>
          <w:bCs/>
          <w:color w:val="auto"/>
          <w:sz w:val="24"/>
          <w:szCs w:val="24"/>
          <w:highlight w:val="none"/>
          <w:lang w:val="en-US" w:eastAsia="zh-CN"/>
        </w:rPr>
        <w:t>广西民族艺术宫西面扶梯设备更新项目招标代理服务</w:t>
      </w:r>
    </w:p>
    <w:p w14:paraId="49330473">
      <w:pPr>
        <w:jc w:val="center"/>
        <w:rPr>
          <w:rFonts w:hint="eastAsia" w:hAnsi="宋体"/>
          <w:color w:val="auto"/>
          <w:sz w:val="24"/>
          <w:szCs w:val="24"/>
          <w:highlight w:val="none"/>
        </w:rPr>
      </w:pPr>
    </w:p>
    <w:p w14:paraId="4DAEC88C">
      <w:pPr>
        <w:rPr>
          <w:rFonts w:hint="eastAsia" w:hAnsi="宋体"/>
          <w:color w:val="auto"/>
          <w:sz w:val="24"/>
          <w:szCs w:val="24"/>
          <w:highlight w:val="none"/>
        </w:rPr>
      </w:pPr>
      <w:r>
        <w:rPr>
          <w:rFonts w:hint="eastAsia" w:hAnsi="宋体"/>
          <w:color w:val="auto"/>
          <w:sz w:val="24"/>
          <w:szCs w:val="24"/>
          <w:highlight w:val="none"/>
        </w:rPr>
        <w:t xml:space="preserve">                                            </w:t>
      </w:r>
    </w:p>
    <w:p w14:paraId="7FD088B2">
      <w:pPr>
        <w:rPr>
          <w:rFonts w:hint="eastAsia" w:hAnsi="宋体"/>
          <w:color w:val="auto"/>
          <w:sz w:val="24"/>
          <w:szCs w:val="24"/>
          <w:highlight w:val="none"/>
        </w:rPr>
      </w:pPr>
    </w:p>
    <w:p w14:paraId="1C45808E">
      <w:pPr>
        <w:rPr>
          <w:rFonts w:hint="eastAsia" w:hAnsi="宋体"/>
          <w:color w:val="auto"/>
          <w:sz w:val="24"/>
          <w:szCs w:val="24"/>
          <w:highlight w:val="none"/>
        </w:rPr>
      </w:pPr>
    </w:p>
    <w:p w14:paraId="16AB772F">
      <w:pPr>
        <w:rPr>
          <w:rFonts w:hint="eastAsia" w:hAnsi="宋体"/>
          <w:color w:val="auto"/>
          <w:sz w:val="24"/>
          <w:szCs w:val="24"/>
          <w:highlight w:val="none"/>
        </w:rPr>
      </w:pPr>
    </w:p>
    <w:p w14:paraId="5785D143">
      <w:pPr>
        <w:rPr>
          <w:rFonts w:hint="eastAsia" w:hAnsi="宋体"/>
          <w:color w:val="auto"/>
          <w:sz w:val="24"/>
          <w:szCs w:val="24"/>
          <w:highlight w:val="none"/>
        </w:rPr>
      </w:pPr>
    </w:p>
    <w:p w14:paraId="0B344A4F">
      <w:pPr>
        <w:rPr>
          <w:rFonts w:hint="eastAsia" w:hAnsi="宋体"/>
          <w:color w:val="auto"/>
          <w:sz w:val="24"/>
          <w:szCs w:val="24"/>
          <w:highlight w:val="none"/>
        </w:rPr>
      </w:pPr>
    </w:p>
    <w:p w14:paraId="5EBA8FA3">
      <w:pPr>
        <w:ind w:firstLine="964" w:firstLineChars="400"/>
        <w:rPr>
          <w:rFonts w:hint="eastAsia" w:hAnsi="宋体"/>
          <w:b/>
          <w:bCs/>
          <w:color w:val="auto"/>
          <w:sz w:val="24"/>
          <w:szCs w:val="24"/>
          <w:highlight w:val="none"/>
        </w:rPr>
      </w:pPr>
      <w:r>
        <w:rPr>
          <w:rFonts w:hint="eastAsia" w:hAnsi="宋体"/>
          <w:b/>
          <w:bCs/>
          <w:color w:val="auto"/>
          <w:sz w:val="24"/>
          <w:szCs w:val="24"/>
          <w:highlight w:val="none"/>
        </w:rPr>
        <w:t>报 价 人：</w:t>
      </w:r>
      <w:r>
        <w:rPr>
          <w:rFonts w:hint="eastAsia" w:hAnsi="宋体"/>
          <w:b/>
          <w:bCs/>
          <w:color w:val="auto"/>
          <w:sz w:val="24"/>
          <w:szCs w:val="24"/>
          <w:highlight w:val="none"/>
          <w:u w:val="single"/>
        </w:rPr>
        <w:t xml:space="preserve">                     </w:t>
      </w:r>
      <w:r>
        <w:rPr>
          <w:rFonts w:hint="eastAsia" w:hAnsi="宋体"/>
          <w:b/>
          <w:bCs/>
          <w:color w:val="auto"/>
          <w:sz w:val="24"/>
          <w:szCs w:val="24"/>
          <w:highlight w:val="none"/>
        </w:rPr>
        <w:t>（盖章）</w:t>
      </w:r>
    </w:p>
    <w:p w14:paraId="586EA310">
      <w:pPr>
        <w:ind w:firstLine="964" w:firstLineChars="400"/>
        <w:rPr>
          <w:rFonts w:hint="eastAsia" w:hAnsi="宋体"/>
          <w:b/>
          <w:bCs/>
          <w:color w:val="auto"/>
          <w:sz w:val="24"/>
          <w:szCs w:val="24"/>
          <w:highlight w:val="none"/>
        </w:rPr>
      </w:pPr>
      <w:r>
        <w:rPr>
          <w:rFonts w:hint="eastAsia" w:hAnsi="宋体"/>
          <w:b/>
          <w:bCs/>
          <w:color w:val="auto"/>
          <w:sz w:val="24"/>
          <w:szCs w:val="24"/>
          <w:highlight w:val="none"/>
        </w:rPr>
        <w:t>公司地址：</w:t>
      </w:r>
      <w:r>
        <w:rPr>
          <w:rFonts w:hint="eastAsia" w:hAnsi="宋体"/>
          <w:b/>
          <w:bCs/>
          <w:color w:val="auto"/>
          <w:sz w:val="24"/>
          <w:szCs w:val="24"/>
          <w:highlight w:val="none"/>
          <w:u w:val="single"/>
        </w:rPr>
        <w:t xml:space="preserve">                     </w:t>
      </w:r>
    </w:p>
    <w:p w14:paraId="6C088E57">
      <w:pPr>
        <w:ind w:left="958" w:leftChars="456" w:firstLine="0" w:firstLineChars="0"/>
        <w:rPr>
          <w:rFonts w:hint="default" w:hAnsi="宋体" w:eastAsia="宋体"/>
          <w:b/>
          <w:bCs/>
          <w:color w:val="auto"/>
          <w:sz w:val="24"/>
          <w:szCs w:val="24"/>
          <w:highlight w:val="none"/>
          <w:u w:val="single"/>
          <w:lang w:val="en-US" w:eastAsia="zh-CN"/>
        </w:rPr>
      </w:pPr>
      <w:r>
        <w:rPr>
          <w:rFonts w:hint="eastAsia" w:hAnsi="宋体"/>
          <w:b/>
          <w:bCs/>
          <w:color w:val="auto"/>
          <w:sz w:val="24"/>
          <w:szCs w:val="24"/>
          <w:highlight w:val="none"/>
        </w:rPr>
        <w:t>法定代表人</w:t>
      </w:r>
      <w:r>
        <w:rPr>
          <w:rFonts w:hint="eastAsia" w:hAnsi="宋体"/>
          <w:b/>
          <w:bCs/>
          <w:color w:val="auto"/>
          <w:sz w:val="24"/>
          <w:szCs w:val="24"/>
          <w:highlight w:val="none"/>
          <w:lang w:eastAsia="zh-CN"/>
        </w:rPr>
        <w:t>（</w:t>
      </w:r>
      <w:r>
        <w:rPr>
          <w:rFonts w:hint="eastAsia" w:hAnsi="宋体"/>
          <w:b/>
          <w:bCs/>
          <w:color w:val="auto"/>
          <w:sz w:val="24"/>
          <w:szCs w:val="24"/>
          <w:highlight w:val="none"/>
        </w:rPr>
        <w:t>若为其他组织形式无法定代表人的应为机构负责人）或授权委托代理人</w:t>
      </w:r>
      <w:r>
        <w:rPr>
          <w:rFonts w:hint="eastAsia" w:hAnsi="宋体"/>
          <w:b/>
          <w:bCs/>
          <w:color w:val="auto"/>
          <w:sz w:val="24"/>
          <w:szCs w:val="24"/>
          <w:highlight w:val="none"/>
          <w:lang w:eastAsia="zh-CN"/>
        </w:rPr>
        <w:t>（</w:t>
      </w:r>
      <w:r>
        <w:rPr>
          <w:rFonts w:hint="eastAsia" w:hAnsi="宋体"/>
          <w:b/>
          <w:bCs/>
          <w:color w:val="auto"/>
          <w:sz w:val="24"/>
          <w:szCs w:val="24"/>
          <w:highlight w:val="none"/>
        </w:rPr>
        <w:t>签名</w:t>
      </w:r>
      <w:r>
        <w:rPr>
          <w:rFonts w:hint="eastAsia" w:hAnsi="宋体"/>
          <w:b/>
          <w:bCs/>
          <w:color w:val="auto"/>
          <w:sz w:val="24"/>
          <w:szCs w:val="24"/>
          <w:highlight w:val="none"/>
          <w:lang w:eastAsia="zh-CN"/>
        </w:rPr>
        <w:t>）</w:t>
      </w:r>
      <w:r>
        <w:rPr>
          <w:rFonts w:hint="eastAsia" w:hAnsi="宋体"/>
          <w:b/>
          <w:bCs/>
          <w:color w:val="auto"/>
          <w:sz w:val="24"/>
          <w:szCs w:val="24"/>
          <w:highlight w:val="none"/>
          <w:u w:val="single"/>
        </w:rPr>
        <w:t xml:space="preserve">       </w:t>
      </w:r>
      <w:r>
        <w:rPr>
          <w:rFonts w:hint="eastAsia" w:hAnsi="宋体"/>
          <w:b/>
          <w:bCs/>
          <w:color w:val="auto"/>
          <w:sz w:val="24"/>
          <w:szCs w:val="24"/>
          <w:highlight w:val="none"/>
          <w:u w:val="single"/>
          <w:lang w:val="en-US" w:eastAsia="zh-CN"/>
        </w:rPr>
        <w:t xml:space="preserve">          </w:t>
      </w:r>
    </w:p>
    <w:p w14:paraId="4E5D2B9A">
      <w:pPr>
        <w:ind w:firstLine="964" w:firstLineChars="400"/>
        <w:rPr>
          <w:rFonts w:hint="eastAsia" w:hAnsi="宋体"/>
          <w:b/>
          <w:bCs/>
          <w:color w:val="auto"/>
          <w:sz w:val="24"/>
          <w:szCs w:val="24"/>
          <w:highlight w:val="none"/>
        </w:rPr>
      </w:pPr>
      <w:r>
        <w:rPr>
          <w:rFonts w:hint="eastAsia" w:hAnsi="宋体"/>
          <w:b/>
          <w:bCs/>
          <w:color w:val="auto"/>
          <w:sz w:val="24"/>
          <w:szCs w:val="24"/>
          <w:highlight w:val="none"/>
        </w:rPr>
        <w:t>日    期：</w:t>
      </w:r>
      <w:r>
        <w:rPr>
          <w:rFonts w:hint="eastAsia" w:hAnsi="宋体"/>
          <w:b/>
          <w:bCs/>
          <w:color w:val="auto"/>
          <w:sz w:val="24"/>
          <w:szCs w:val="24"/>
          <w:highlight w:val="none"/>
          <w:u w:val="single"/>
        </w:rPr>
        <w:t xml:space="preserve">     </w:t>
      </w:r>
      <w:r>
        <w:rPr>
          <w:rFonts w:hint="eastAsia" w:hAnsi="宋体"/>
          <w:b/>
          <w:bCs/>
          <w:color w:val="auto"/>
          <w:sz w:val="24"/>
          <w:szCs w:val="24"/>
          <w:highlight w:val="none"/>
        </w:rPr>
        <w:t>年</w:t>
      </w:r>
      <w:r>
        <w:rPr>
          <w:rFonts w:hint="eastAsia" w:hAnsi="宋体"/>
          <w:b/>
          <w:bCs/>
          <w:color w:val="auto"/>
          <w:sz w:val="24"/>
          <w:szCs w:val="24"/>
          <w:highlight w:val="none"/>
          <w:u w:val="single"/>
        </w:rPr>
        <w:t xml:space="preserve">   </w:t>
      </w:r>
      <w:r>
        <w:rPr>
          <w:rFonts w:hint="eastAsia" w:hAnsi="宋体"/>
          <w:b/>
          <w:bCs/>
          <w:color w:val="auto"/>
          <w:sz w:val="24"/>
          <w:szCs w:val="24"/>
          <w:highlight w:val="none"/>
        </w:rPr>
        <w:t>月</w:t>
      </w:r>
      <w:r>
        <w:rPr>
          <w:rFonts w:hint="eastAsia" w:hAnsi="宋体"/>
          <w:b/>
          <w:bCs/>
          <w:color w:val="auto"/>
          <w:sz w:val="24"/>
          <w:szCs w:val="24"/>
          <w:highlight w:val="none"/>
          <w:u w:val="single"/>
        </w:rPr>
        <w:t xml:space="preserve">  </w:t>
      </w:r>
      <w:r>
        <w:rPr>
          <w:rFonts w:hint="eastAsia" w:hAnsi="宋体"/>
          <w:b/>
          <w:bCs/>
          <w:color w:val="auto"/>
          <w:sz w:val="24"/>
          <w:szCs w:val="24"/>
          <w:highlight w:val="none"/>
        </w:rPr>
        <w:t>日</w:t>
      </w:r>
    </w:p>
    <w:p w14:paraId="69A94336">
      <w:pPr>
        <w:pStyle w:val="8"/>
        <w:jc w:val="center"/>
        <w:rPr>
          <w:rFonts w:hint="eastAsia" w:hAnsi="宋体"/>
          <w:b/>
          <w:color w:val="auto"/>
          <w:sz w:val="24"/>
          <w:szCs w:val="24"/>
          <w:highlight w:val="none"/>
        </w:rPr>
      </w:pPr>
      <w:r>
        <w:rPr>
          <w:rFonts w:hAnsi="宋体"/>
          <w:b/>
          <w:color w:val="auto"/>
          <w:sz w:val="24"/>
          <w:szCs w:val="24"/>
          <w:highlight w:val="none"/>
        </w:rPr>
        <w:br w:type="page"/>
      </w:r>
    </w:p>
    <w:p w14:paraId="76CF18BB">
      <w:pPr>
        <w:spacing w:line="240" w:lineRule="auto"/>
        <w:jc w:val="left"/>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附件2</w:t>
      </w:r>
    </w:p>
    <w:p w14:paraId="190A6784">
      <w:pPr>
        <w:spacing w:line="480" w:lineRule="exact"/>
        <w:jc w:val="center"/>
        <w:rPr>
          <w:rFonts w:hint="eastAsia" w:hAnsi="宋体"/>
          <w:color w:val="auto"/>
          <w:sz w:val="24"/>
          <w:szCs w:val="24"/>
          <w:highlight w:val="none"/>
        </w:rPr>
      </w:pPr>
      <w:r>
        <w:rPr>
          <w:rFonts w:hint="eastAsia" w:hAnsi="宋体"/>
          <w:b/>
          <w:color w:val="auto"/>
          <w:sz w:val="24"/>
          <w:szCs w:val="24"/>
          <w:highlight w:val="none"/>
        </w:rPr>
        <w:t>报 价 函（格 式）</w:t>
      </w:r>
    </w:p>
    <w:p w14:paraId="07F33197">
      <w:pPr>
        <w:pStyle w:val="8"/>
        <w:spacing w:line="360" w:lineRule="auto"/>
        <w:rPr>
          <w:rFonts w:hint="eastAsia" w:hAnsi="宋体"/>
          <w:color w:val="auto"/>
          <w:sz w:val="24"/>
          <w:szCs w:val="24"/>
          <w:highlight w:val="none"/>
        </w:rPr>
      </w:pPr>
    </w:p>
    <w:p w14:paraId="3F68E355">
      <w:pPr>
        <w:pStyle w:val="8"/>
        <w:spacing w:line="360" w:lineRule="auto"/>
        <w:rPr>
          <w:rFonts w:hint="eastAsia" w:hAnsi="宋体"/>
          <w:color w:val="auto"/>
          <w:sz w:val="24"/>
          <w:szCs w:val="24"/>
          <w:highlight w:val="none"/>
        </w:rPr>
      </w:pPr>
      <w:r>
        <w:rPr>
          <w:rFonts w:hint="eastAsia" w:hAnsi="宋体"/>
          <w:color w:val="auto"/>
          <w:sz w:val="24"/>
          <w:szCs w:val="24"/>
          <w:highlight w:val="none"/>
        </w:rPr>
        <w:t>致：</w:t>
      </w:r>
      <w:r>
        <w:rPr>
          <w:rFonts w:hint="eastAsia" w:hAnsi="宋体"/>
          <w:color w:val="auto"/>
          <w:sz w:val="24"/>
          <w:szCs w:val="24"/>
          <w:highlight w:val="none"/>
          <w:u w:val="single"/>
        </w:rPr>
        <w:t xml:space="preserve">  </w:t>
      </w:r>
      <w:r>
        <w:rPr>
          <w:rFonts w:hint="eastAsia" w:hAnsi="宋体"/>
          <w:color w:val="auto"/>
          <w:sz w:val="24"/>
          <w:szCs w:val="24"/>
          <w:highlight w:val="none"/>
          <w:u w:val="single"/>
          <w:lang w:val="en-US" w:eastAsia="zh-CN"/>
        </w:rPr>
        <w:t>广西国宏经济发展集团有限公司</w:t>
      </w:r>
      <w:r>
        <w:rPr>
          <w:rFonts w:hint="eastAsia" w:hAnsi="宋体"/>
          <w:color w:val="auto"/>
          <w:sz w:val="24"/>
          <w:szCs w:val="24"/>
          <w:highlight w:val="none"/>
          <w:u w:val="single"/>
        </w:rPr>
        <w:t xml:space="preserve">                     </w:t>
      </w:r>
      <w:r>
        <w:rPr>
          <w:rFonts w:hint="eastAsia" w:hAnsi="宋体"/>
          <w:color w:val="auto"/>
          <w:sz w:val="24"/>
          <w:szCs w:val="24"/>
          <w:highlight w:val="none"/>
        </w:rPr>
        <w:t>：</w:t>
      </w:r>
    </w:p>
    <w:p w14:paraId="544D4D48">
      <w:pPr>
        <w:pStyle w:val="8"/>
        <w:spacing w:line="360" w:lineRule="auto"/>
        <w:ind w:firstLine="480"/>
        <w:rPr>
          <w:rFonts w:hint="eastAsia" w:hAnsi="宋体"/>
          <w:color w:val="auto"/>
          <w:sz w:val="24"/>
          <w:szCs w:val="24"/>
          <w:highlight w:val="none"/>
        </w:rPr>
      </w:pPr>
      <w:r>
        <w:rPr>
          <w:rFonts w:hint="eastAsia" w:hAnsi="宋体"/>
          <w:color w:val="auto"/>
          <w:sz w:val="24"/>
          <w:szCs w:val="24"/>
          <w:highlight w:val="none"/>
        </w:rPr>
        <w:t>依据</w:t>
      </w:r>
      <w:r>
        <w:rPr>
          <w:rFonts w:hint="eastAsia" w:hAnsi="宋体"/>
          <w:color w:val="auto"/>
          <w:sz w:val="24"/>
          <w:szCs w:val="24"/>
          <w:highlight w:val="none"/>
          <w:lang w:eastAsia="zh-CN"/>
        </w:rPr>
        <w:t>《广西民族艺术宫西面扶梯设备更新项目招标代理服务采购文件》（以下简称“采购文件”）</w:t>
      </w:r>
      <w:r>
        <w:rPr>
          <w:rFonts w:hint="eastAsia" w:hAnsi="宋体"/>
          <w:color w:val="auto"/>
          <w:sz w:val="24"/>
          <w:szCs w:val="24"/>
          <w:highlight w:val="none"/>
        </w:rPr>
        <w:t>，我方正式授权下述签字</w:t>
      </w:r>
      <w:r>
        <w:rPr>
          <w:rFonts w:hint="eastAsia" w:hAnsi="宋体"/>
          <w:color w:val="auto"/>
          <w:sz w:val="24"/>
          <w:szCs w:val="24"/>
          <w:highlight w:val="none"/>
          <w:u w:val="none"/>
        </w:rPr>
        <w:t>人</w:t>
      </w:r>
      <w:r>
        <w:rPr>
          <w:rFonts w:hint="eastAsia" w:hAnsi="宋体"/>
          <w:color w:val="auto"/>
          <w:sz w:val="24"/>
          <w:szCs w:val="24"/>
          <w:highlight w:val="none"/>
          <w:u w:val="single"/>
        </w:rPr>
        <w:t xml:space="preserve">             </w:t>
      </w:r>
      <w:r>
        <w:rPr>
          <w:rFonts w:hint="eastAsia" w:hAnsi="宋体"/>
          <w:color w:val="auto"/>
          <w:sz w:val="24"/>
          <w:szCs w:val="24"/>
          <w:highlight w:val="none"/>
          <w:u w:val="single"/>
          <w:lang w:val="en-US" w:eastAsia="zh-CN"/>
        </w:rPr>
        <w:t xml:space="preserve">   </w:t>
      </w:r>
      <w:r>
        <w:rPr>
          <w:rFonts w:hint="eastAsia" w:hAnsi="宋体"/>
          <w:color w:val="auto"/>
          <w:sz w:val="24"/>
          <w:szCs w:val="24"/>
          <w:highlight w:val="none"/>
          <w:u w:val="single"/>
        </w:rPr>
        <w:t>（</w:t>
      </w:r>
      <w:r>
        <w:rPr>
          <w:rFonts w:hint="eastAsia" w:hAnsi="宋体"/>
          <w:color w:val="auto"/>
          <w:sz w:val="24"/>
          <w:szCs w:val="24"/>
          <w:highlight w:val="none"/>
        </w:rPr>
        <w:t>姓名和职务）代表</w:t>
      </w:r>
      <w:r>
        <w:rPr>
          <w:rFonts w:hint="eastAsia" w:hAnsi="宋体"/>
          <w:color w:val="auto"/>
          <w:sz w:val="24"/>
          <w:szCs w:val="24"/>
          <w:highlight w:val="none"/>
          <w:u w:val="none"/>
          <w:lang w:val="en-US" w:eastAsia="zh-CN"/>
        </w:rPr>
        <w:t>响应机构</w:t>
      </w:r>
      <w:r>
        <w:rPr>
          <w:rFonts w:hint="eastAsia" w:hAnsi="宋体"/>
          <w:color w:val="auto"/>
          <w:sz w:val="24"/>
          <w:szCs w:val="24"/>
          <w:highlight w:val="none"/>
          <w:u w:val="single"/>
        </w:rPr>
        <w:t xml:space="preserve"> </w:t>
      </w:r>
      <w:r>
        <w:rPr>
          <w:rFonts w:hint="eastAsia" w:hAnsi="宋体"/>
          <w:color w:val="auto"/>
          <w:sz w:val="24"/>
          <w:szCs w:val="24"/>
          <w:highlight w:val="none"/>
          <w:u w:val="single"/>
          <w:lang w:val="en-US" w:eastAsia="zh-CN"/>
        </w:rPr>
        <w:t xml:space="preserve">          </w:t>
      </w:r>
      <w:r>
        <w:rPr>
          <w:rFonts w:hint="eastAsia" w:hAnsi="宋体"/>
          <w:color w:val="auto"/>
          <w:sz w:val="24"/>
          <w:szCs w:val="24"/>
          <w:highlight w:val="none"/>
          <w:u w:val="single"/>
        </w:rPr>
        <w:t>（</w:t>
      </w:r>
      <w:r>
        <w:rPr>
          <w:rFonts w:hint="eastAsia" w:hAnsi="宋体"/>
          <w:color w:val="auto"/>
          <w:sz w:val="24"/>
          <w:szCs w:val="24"/>
          <w:highlight w:val="none"/>
        </w:rPr>
        <w:t>报价单位名称），提交</w:t>
      </w:r>
      <w:r>
        <w:rPr>
          <w:rFonts w:hint="eastAsia" w:hAnsi="宋体"/>
          <w:color w:val="auto"/>
          <w:sz w:val="24"/>
          <w:szCs w:val="24"/>
          <w:highlight w:val="none"/>
          <w:lang w:val="en-US" w:eastAsia="zh-CN"/>
        </w:rPr>
        <w:t>采购文件</w:t>
      </w:r>
      <w:r>
        <w:rPr>
          <w:rFonts w:hint="eastAsia" w:hAnsi="宋体"/>
          <w:color w:val="auto"/>
          <w:sz w:val="24"/>
          <w:szCs w:val="24"/>
          <w:highlight w:val="none"/>
        </w:rPr>
        <w:t>要求</w:t>
      </w:r>
      <w:r>
        <w:rPr>
          <w:rFonts w:hint="eastAsia" w:hAnsi="宋体"/>
          <w:color w:val="auto"/>
          <w:sz w:val="24"/>
          <w:szCs w:val="24"/>
          <w:highlight w:val="none"/>
          <w:lang w:val="en-US" w:eastAsia="zh-CN"/>
        </w:rPr>
        <w:t>响应机构</w:t>
      </w:r>
      <w:r>
        <w:rPr>
          <w:rFonts w:hint="eastAsia" w:hAnsi="宋体"/>
          <w:color w:val="auto"/>
          <w:sz w:val="24"/>
          <w:szCs w:val="24"/>
          <w:highlight w:val="none"/>
        </w:rPr>
        <w:t>提交的全部文件正本</w:t>
      </w:r>
      <w:r>
        <w:rPr>
          <w:rFonts w:hint="eastAsia" w:hAnsi="宋体"/>
          <w:color w:val="auto"/>
          <w:sz w:val="24"/>
          <w:szCs w:val="24"/>
          <w:highlight w:val="none"/>
          <w:u w:val="single"/>
        </w:rPr>
        <w:t xml:space="preserve"> </w:t>
      </w:r>
      <w:r>
        <w:rPr>
          <w:rFonts w:hint="eastAsia" w:hAnsi="宋体"/>
          <w:color w:val="auto"/>
          <w:sz w:val="24"/>
          <w:szCs w:val="24"/>
          <w:highlight w:val="none"/>
          <w:u w:val="single"/>
          <w:lang w:val="en-US" w:eastAsia="zh-CN"/>
        </w:rPr>
        <w:t>壹</w:t>
      </w:r>
      <w:r>
        <w:rPr>
          <w:rFonts w:hint="eastAsia" w:hAnsi="宋体"/>
          <w:color w:val="auto"/>
          <w:sz w:val="24"/>
          <w:szCs w:val="24"/>
          <w:highlight w:val="none"/>
          <w:u w:val="single"/>
        </w:rPr>
        <w:t xml:space="preserve">  </w:t>
      </w:r>
      <w:r>
        <w:rPr>
          <w:rFonts w:hint="eastAsia" w:hAnsi="宋体"/>
          <w:color w:val="auto"/>
          <w:sz w:val="24"/>
          <w:szCs w:val="24"/>
          <w:highlight w:val="none"/>
        </w:rPr>
        <w:t>份，</w:t>
      </w:r>
    </w:p>
    <w:p w14:paraId="758E0469">
      <w:pPr>
        <w:pStyle w:val="8"/>
        <w:spacing w:line="400" w:lineRule="exact"/>
        <w:ind w:left="100" w:firstLine="420"/>
        <w:jc w:val="left"/>
        <w:rPr>
          <w:rFonts w:hint="default" w:ascii="宋体" w:hAnsi="宋体" w:cs="宋体"/>
          <w:b w:val="0"/>
          <w:bCs w:val="0"/>
          <w:color w:val="auto"/>
          <w:sz w:val="21"/>
          <w:szCs w:val="21"/>
          <w:highlight w:val="none"/>
          <w:lang w:val="en-US" w:eastAsia="zh-CN"/>
        </w:rPr>
      </w:pPr>
      <w:r>
        <w:rPr>
          <w:rFonts w:hint="eastAsia" w:ascii="宋体" w:hAnsi="宋体" w:eastAsia="宋体" w:cs="宋体"/>
          <w:color w:val="auto"/>
          <w:sz w:val="24"/>
          <w:szCs w:val="24"/>
          <w:highlight w:val="none"/>
        </w:rPr>
        <w:t>据此函，签字人兹宣布同意如下：</w:t>
      </w:r>
    </w:p>
    <w:p w14:paraId="1D6C9F52">
      <w:pPr>
        <w:pStyle w:val="8"/>
        <w:keepNext w:val="0"/>
        <w:keepLines w:val="0"/>
        <w:pageBreakBefore w:val="0"/>
        <w:widowControl w:val="0"/>
        <w:numPr>
          <w:ilvl w:val="-1"/>
          <w:numId w:val="0"/>
        </w:numPr>
        <w:kinsoku/>
        <w:wordWrap/>
        <w:overflowPunct/>
        <w:topLinePunct w:val="0"/>
        <w:autoSpaceDE/>
        <w:autoSpaceDN/>
        <w:bidi w:val="0"/>
        <w:adjustRightInd/>
        <w:spacing w:line="400" w:lineRule="exact"/>
        <w:ind w:left="0"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我方报价（招标代理服务费）为包干价，包含</w:t>
      </w:r>
      <w:r>
        <w:rPr>
          <w:rFonts w:hint="eastAsia" w:ascii="宋体" w:hAnsi="宋体" w:cs="宋体"/>
          <w:color w:val="auto"/>
          <w:sz w:val="24"/>
          <w:szCs w:val="24"/>
          <w:highlight w:val="none"/>
          <w:lang w:val="en-US" w:eastAsia="zh-CN"/>
        </w:rPr>
        <w:t>编制招标文件、</w:t>
      </w:r>
      <w:r>
        <w:rPr>
          <w:rFonts w:hint="eastAsia" w:ascii="宋体" w:hAnsi="宋体" w:eastAsia="宋体" w:cs="宋体"/>
          <w:color w:val="auto"/>
          <w:sz w:val="24"/>
          <w:szCs w:val="24"/>
          <w:highlight w:val="none"/>
          <w:lang w:val="en-US" w:eastAsia="zh-CN"/>
        </w:rPr>
        <w:t>专家费、差旅费、投标文件档案整理等费用</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我方将按照采购文件要求，</w:t>
      </w:r>
      <w:r>
        <w:rPr>
          <w:rFonts w:hint="eastAsia" w:ascii="宋体" w:hAnsi="宋体" w:eastAsia="宋体" w:cs="宋体"/>
          <w:color w:val="auto"/>
          <w:sz w:val="24"/>
          <w:szCs w:val="24"/>
          <w:highlight w:val="none"/>
          <w:u w:val="none"/>
          <w:lang w:val="en-US" w:eastAsia="zh-CN"/>
        </w:rPr>
        <w:t>向广西民族艺术宫</w:t>
      </w:r>
      <w:r>
        <w:rPr>
          <w:rFonts w:hint="eastAsia" w:ascii="宋体" w:hAnsi="宋体" w:cs="宋体"/>
          <w:color w:val="auto"/>
          <w:sz w:val="24"/>
          <w:szCs w:val="24"/>
          <w:highlight w:val="none"/>
          <w:u w:val="none"/>
          <w:lang w:val="en-US" w:eastAsia="zh-CN"/>
        </w:rPr>
        <w:t>西面扶梯</w:t>
      </w:r>
      <w:r>
        <w:rPr>
          <w:rFonts w:hint="eastAsia" w:ascii="宋体" w:hAnsi="宋体" w:eastAsia="宋体" w:cs="宋体"/>
          <w:color w:val="auto"/>
          <w:sz w:val="24"/>
          <w:szCs w:val="24"/>
          <w:highlight w:val="none"/>
          <w:u w:val="none"/>
          <w:lang w:val="en-US" w:eastAsia="zh-CN"/>
        </w:rPr>
        <w:t>设备更新项目</w:t>
      </w:r>
      <w:r>
        <w:rPr>
          <w:rFonts w:hint="eastAsia" w:ascii="宋体" w:hAnsi="宋体" w:eastAsia="宋体" w:cs="宋体"/>
          <w:color w:val="auto"/>
          <w:sz w:val="24"/>
          <w:szCs w:val="24"/>
          <w:highlight w:val="none"/>
          <w:lang w:val="en-US" w:eastAsia="zh-CN"/>
        </w:rPr>
        <w:t>中标人计收招标代理服务费</w:t>
      </w:r>
      <w:r>
        <w:rPr>
          <w:rFonts w:hint="eastAsia" w:ascii="宋体" w:hAnsi="宋体" w:cs="宋体"/>
          <w:b w:val="0"/>
          <w:bCs w:val="0"/>
          <w:color w:val="auto"/>
          <w:sz w:val="24"/>
          <w:szCs w:val="24"/>
          <w:highlight w:val="none"/>
          <w:lang w:val="en-US" w:eastAsia="zh-CN"/>
        </w:rPr>
        <w:t>。现我方报价（</w:t>
      </w:r>
      <w:r>
        <w:rPr>
          <w:rFonts w:hint="eastAsia" w:ascii="宋体" w:hAnsi="宋体" w:eastAsia="宋体" w:cs="宋体"/>
          <w:color w:val="auto"/>
          <w:sz w:val="24"/>
          <w:szCs w:val="24"/>
          <w:highlight w:val="none"/>
          <w:lang w:val="en-US" w:eastAsia="zh-CN"/>
        </w:rPr>
        <w:t>招标代理服务费</w:t>
      </w:r>
      <w:r>
        <w:rPr>
          <w:rFonts w:hint="eastAsia" w:ascii="宋体" w:hAnsi="宋体" w:cs="宋体"/>
          <w:color w:val="auto"/>
          <w:sz w:val="24"/>
          <w:szCs w:val="24"/>
          <w:highlight w:val="none"/>
          <w:lang w:val="en-US" w:eastAsia="zh-CN"/>
        </w:rPr>
        <w:t>）</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lang w:val="en-US" w:eastAsia="zh-CN"/>
        </w:rPr>
        <w:t>元</w:t>
      </w:r>
    </w:p>
    <w:p w14:paraId="21EB0379">
      <w:pPr>
        <w:pStyle w:val="8"/>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（2）将按</w:t>
      </w:r>
      <w:r>
        <w:rPr>
          <w:rFonts w:hint="eastAsia" w:ascii="宋体" w:hAnsi="宋体" w:eastAsia="宋体" w:cs="宋体"/>
          <w:color w:val="auto"/>
          <w:sz w:val="24"/>
          <w:szCs w:val="24"/>
          <w:highlight w:val="none"/>
          <w:lang w:val="en-US" w:eastAsia="zh-CN"/>
        </w:rPr>
        <w:t>本项目</w:t>
      </w:r>
      <w:r>
        <w:rPr>
          <w:rFonts w:hint="eastAsia" w:ascii="宋体" w:hAnsi="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履行合同责任和义务；</w:t>
      </w:r>
    </w:p>
    <w:p w14:paraId="7108D3BD">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（3）我方已详细</w:t>
      </w:r>
      <w:r>
        <w:rPr>
          <w:rFonts w:hint="eastAsia" w:ascii="宋体" w:hAnsi="宋体" w:eastAsia="宋体" w:cs="宋体"/>
          <w:color w:val="auto"/>
          <w:sz w:val="24"/>
          <w:szCs w:val="24"/>
          <w:highlight w:val="none"/>
          <w:lang w:val="en-US" w:eastAsia="zh-CN"/>
        </w:rPr>
        <w:t>阅读本项目</w:t>
      </w:r>
      <w:r>
        <w:rPr>
          <w:rFonts w:hint="eastAsia" w:ascii="宋体" w:hAnsi="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全部</w:t>
      </w:r>
      <w:r>
        <w:rPr>
          <w:rFonts w:hint="eastAsia" w:ascii="宋体" w:hAnsi="宋体" w:eastAsia="宋体" w:cs="宋体"/>
          <w:color w:val="auto"/>
          <w:sz w:val="24"/>
          <w:szCs w:val="24"/>
          <w:highlight w:val="none"/>
          <w:lang w:val="en-US" w:eastAsia="zh-CN"/>
        </w:rPr>
        <w:t>内容</w:t>
      </w:r>
      <w:r>
        <w:rPr>
          <w:rFonts w:hint="eastAsia" w:ascii="宋体" w:hAnsi="宋体" w:eastAsia="宋体" w:cs="宋体"/>
          <w:color w:val="auto"/>
          <w:sz w:val="24"/>
          <w:szCs w:val="24"/>
          <w:highlight w:val="none"/>
        </w:rPr>
        <w:t>；完全理解并接受</w:t>
      </w:r>
      <w:r>
        <w:rPr>
          <w:rFonts w:hint="eastAsia" w:ascii="宋体" w:hAnsi="宋体" w:eastAsia="宋体" w:cs="宋体"/>
          <w:color w:val="auto"/>
          <w:sz w:val="24"/>
          <w:szCs w:val="24"/>
          <w:highlight w:val="none"/>
          <w:lang w:val="en-US" w:eastAsia="zh-CN"/>
        </w:rPr>
        <w:t>本项目</w:t>
      </w:r>
      <w:r>
        <w:rPr>
          <w:rFonts w:hint="eastAsia" w:ascii="宋体" w:hAnsi="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的各项规定和要求，同时我</w:t>
      </w:r>
      <w:r>
        <w:rPr>
          <w:rFonts w:hint="eastAsia" w:ascii="宋体" w:hAnsi="宋体" w:cs="宋体"/>
          <w:color w:val="auto"/>
          <w:sz w:val="24"/>
          <w:szCs w:val="24"/>
          <w:highlight w:val="none"/>
          <w:lang w:eastAsia="zh-CN"/>
        </w:rPr>
        <w:t>方</w:t>
      </w:r>
      <w:r>
        <w:rPr>
          <w:rFonts w:hint="eastAsia" w:ascii="宋体" w:hAnsi="宋体" w:eastAsia="宋体" w:cs="宋体"/>
          <w:color w:val="auto"/>
          <w:sz w:val="24"/>
          <w:szCs w:val="24"/>
          <w:highlight w:val="none"/>
        </w:rPr>
        <w:t>也完全理解并同意放弃对这方面有不明及误解的权力，对</w:t>
      </w:r>
      <w:r>
        <w:rPr>
          <w:rFonts w:hint="eastAsia" w:ascii="宋体" w:hAnsi="宋体" w:eastAsia="宋体" w:cs="宋体"/>
          <w:color w:val="auto"/>
          <w:sz w:val="24"/>
          <w:szCs w:val="24"/>
          <w:highlight w:val="none"/>
          <w:lang w:val="en-US" w:eastAsia="zh-CN"/>
        </w:rPr>
        <w:t>本项目</w:t>
      </w:r>
      <w:r>
        <w:rPr>
          <w:rFonts w:hint="eastAsia" w:ascii="宋体" w:hAnsi="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的合理性、合法性不再有异议。</w:t>
      </w:r>
    </w:p>
    <w:p w14:paraId="3E46D34A">
      <w:pPr>
        <w:pStyle w:val="8"/>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同意提供按照贵方可能要求的与其询</w:t>
      </w:r>
      <w:r>
        <w:rPr>
          <w:rFonts w:hint="eastAsia" w:ascii="宋体" w:hAnsi="宋体" w:eastAsia="宋体" w:cs="宋体"/>
          <w:color w:val="auto"/>
          <w:sz w:val="24"/>
          <w:szCs w:val="24"/>
          <w:highlight w:val="none"/>
          <w:lang w:val="en-US" w:eastAsia="zh-CN"/>
        </w:rPr>
        <w:t>比</w:t>
      </w:r>
      <w:r>
        <w:rPr>
          <w:rFonts w:hint="eastAsia" w:ascii="宋体" w:hAnsi="宋体" w:eastAsia="宋体" w:cs="宋体"/>
          <w:color w:val="auto"/>
          <w:sz w:val="24"/>
          <w:szCs w:val="24"/>
          <w:highlight w:val="none"/>
        </w:rPr>
        <w:t>有关的一切数据或资料；</w:t>
      </w:r>
    </w:p>
    <w:p w14:paraId="4BF2361D">
      <w:pPr>
        <w:pStyle w:val="8"/>
        <w:keepNext w:val="0"/>
        <w:keepLines w:val="0"/>
        <w:pageBreakBefore w:val="0"/>
        <w:widowControl w:val="0"/>
        <w:kinsoku/>
        <w:wordWrap/>
        <w:overflowPunct/>
        <w:topLinePunct w:val="0"/>
        <w:autoSpaceDE/>
        <w:autoSpaceDN/>
        <w:bidi w:val="0"/>
        <w:adjustRightInd/>
        <w:spacing w:line="400" w:lineRule="exact"/>
        <w:ind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（5）与本报价有关的一切正式往来信函请寄：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A51ABDB">
      <w:pPr>
        <w:pStyle w:val="8"/>
        <w:keepNext w:val="0"/>
        <w:keepLines w:val="0"/>
        <w:pageBreakBefore w:val="0"/>
        <w:widowControl w:val="0"/>
        <w:kinsoku/>
        <w:wordWrap/>
        <w:overflowPunct/>
        <w:topLinePunct w:val="0"/>
        <w:autoSpaceDE/>
        <w:autoSpaceDN/>
        <w:bidi w:val="0"/>
        <w:adjustRightInd/>
        <w:spacing w:line="400" w:lineRule="exact"/>
        <w:ind w:firstLine="84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val="en-US" w:eastAsia="zh-CN"/>
        </w:rPr>
        <w:t>电子邮箱：</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14:paraId="61EFC3F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（6）本报价有效期自截标日起 </w:t>
      </w:r>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u w:val="single"/>
          <w:lang w:val="en-US" w:eastAsia="zh-CN"/>
        </w:rPr>
        <w:t>60</w:t>
      </w:r>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个自然日。</w:t>
      </w:r>
    </w:p>
    <w:p w14:paraId="69BFD0FD">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宋体" w:hAnsi="宋体" w:eastAsia="宋体" w:cs="宋体"/>
          <w:color w:val="auto"/>
          <w:sz w:val="24"/>
          <w:szCs w:val="24"/>
          <w:highlight w:val="none"/>
        </w:rPr>
      </w:pPr>
    </w:p>
    <w:p w14:paraId="2CE27484">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若为其他组织形式无法定代表人的应为机构负责人）或相应的委托代理人签字：</w:t>
      </w:r>
      <w:r>
        <w:rPr>
          <w:rFonts w:hint="eastAsia" w:ascii="宋体" w:hAnsi="宋体" w:eastAsia="宋体" w:cs="宋体"/>
          <w:color w:val="auto"/>
          <w:sz w:val="24"/>
          <w:szCs w:val="24"/>
          <w:highlight w:val="none"/>
          <w:u w:val="single"/>
        </w:rPr>
        <w:t xml:space="preserve">                                  </w:t>
      </w:r>
    </w:p>
    <w:p w14:paraId="562959F1">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宋体" w:hAnsi="宋体" w:eastAsia="宋体" w:cs="宋体"/>
          <w:color w:val="auto"/>
          <w:sz w:val="24"/>
          <w:szCs w:val="24"/>
          <w:highlight w:val="none"/>
        </w:rPr>
      </w:pPr>
    </w:p>
    <w:p w14:paraId="3F377876">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响应机构</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u w:val="single"/>
        </w:rPr>
        <w:t xml:space="preserve">                                               </w:t>
      </w:r>
    </w:p>
    <w:p w14:paraId="407CF1F0">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宋体" w:hAnsi="宋体" w:eastAsia="宋体" w:cs="宋体"/>
          <w:color w:val="auto"/>
          <w:sz w:val="24"/>
          <w:szCs w:val="24"/>
          <w:highlight w:val="none"/>
        </w:rPr>
      </w:pPr>
    </w:p>
    <w:p w14:paraId="6A106039">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p>
    <w:p w14:paraId="2891C764">
      <w:pPr>
        <w:pStyle w:val="8"/>
        <w:keepNext w:val="0"/>
        <w:keepLines w:val="0"/>
        <w:pageBreakBefore w:val="0"/>
        <w:widowControl w:val="0"/>
        <w:kinsoku/>
        <w:wordWrap/>
        <w:overflowPunct/>
        <w:topLinePunct w:val="0"/>
        <w:autoSpaceDE/>
        <w:autoSpaceDN/>
        <w:bidi w:val="0"/>
        <w:adjustRightInd/>
        <w:spacing w:line="400" w:lineRule="exact"/>
        <w:ind w:left="100" w:firstLine="420"/>
        <w:textAlignment w:val="auto"/>
        <w:rPr>
          <w:rFonts w:hint="eastAsia" w:ascii="仿宋_GB2312" w:hAnsi="仿宋_GB2312" w:eastAsia="仿宋_GB2312" w:cs="仿宋_GB2312"/>
          <w:b w:val="0"/>
          <w:bCs/>
          <w:sz w:val="32"/>
          <w:szCs w:val="32"/>
          <w:lang w:val="en-US" w:eastAsia="zh-CN"/>
        </w:rPr>
      </w:pPr>
      <w:r>
        <w:rPr>
          <w:rFonts w:hint="eastAsia" w:ascii="宋体" w:hAnsi="宋体" w:eastAsia="宋体" w:cs="宋体"/>
          <w:b/>
          <w:bCs/>
          <w:color w:val="auto"/>
          <w:sz w:val="24"/>
          <w:szCs w:val="24"/>
          <w:highlight w:val="none"/>
        </w:rPr>
        <w:t>注：报价函须由法定代表人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若为其他组织形式无法定代表人的应为机构负责人）或委托代理人签字并加盖供应商公章。</w:t>
      </w:r>
    </w:p>
    <w:p w14:paraId="0F66F8FF">
      <w:pPr>
        <w:jc w:val="both"/>
        <w:rPr>
          <w:rFonts w:hint="eastAsia" w:hAnsi="宋体"/>
          <w:b/>
          <w:color w:val="auto"/>
          <w:sz w:val="24"/>
          <w:szCs w:val="24"/>
          <w:highlight w:val="none"/>
          <w:lang w:val="en-US" w:eastAsia="zh-CN"/>
        </w:rPr>
      </w:pPr>
      <w:r>
        <w:rPr>
          <w:rFonts w:hint="eastAsia" w:hAnsi="宋体"/>
          <w:b/>
          <w:color w:val="auto"/>
          <w:sz w:val="24"/>
          <w:szCs w:val="24"/>
          <w:highlight w:val="none"/>
          <w:lang w:val="en-US" w:eastAsia="zh-CN"/>
        </w:rPr>
        <w:br w:type="page"/>
      </w:r>
    </w:p>
    <w:p w14:paraId="70C7B67F">
      <w:pPr>
        <w:spacing w:line="240" w:lineRule="auto"/>
        <w:jc w:val="left"/>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附件3</w:t>
      </w:r>
    </w:p>
    <w:p w14:paraId="6F863212">
      <w:pPr>
        <w:pStyle w:val="8"/>
        <w:spacing w:line="400" w:lineRule="exact"/>
        <w:ind w:firstLine="2088" w:firstLineChars="650"/>
        <w:rPr>
          <w:rFonts w:hAnsi="宋体"/>
          <w:b/>
          <w:color w:val="auto"/>
          <w:sz w:val="32"/>
          <w:szCs w:val="32"/>
          <w:highlight w:val="none"/>
        </w:rPr>
      </w:pPr>
      <w:r>
        <w:rPr>
          <w:rFonts w:hint="eastAsia" w:hAnsi="宋体"/>
          <w:b/>
          <w:color w:val="auto"/>
          <w:sz w:val="32"/>
          <w:szCs w:val="32"/>
          <w:highlight w:val="none"/>
          <w:lang w:val="en-US" w:eastAsia="zh-CN"/>
        </w:rPr>
        <w:t>响应机构</w:t>
      </w:r>
      <w:r>
        <w:rPr>
          <w:rFonts w:hint="eastAsia" w:hAnsi="宋体"/>
          <w:b/>
          <w:color w:val="auto"/>
          <w:sz w:val="32"/>
          <w:szCs w:val="32"/>
          <w:highlight w:val="none"/>
        </w:rPr>
        <w:t>参加</w:t>
      </w:r>
      <w:r>
        <w:rPr>
          <w:rFonts w:hint="eastAsia" w:hAnsi="宋体"/>
          <w:b/>
          <w:color w:val="auto"/>
          <w:sz w:val="32"/>
          <w:szCs w:val="32"/>
          <w:highlight w:val="none"/>
          <w:lang w:eastAsia="zh-CN"/>
        </w:rPr>
        <w:t>项目采购活动</w:t>
      </w:r>
      <w:r>
        <w:rPr>
          <w:rFonts w:hint="eastAsia" w:hAnsi="宋体"/>
          <w:b/>
          <w:color w:val="auto"/>
          <w:sz w:val="32"/>
          <w:szCs w:val="32"/>
          <w:highlight w:val="none"/>
        </w:rPr>
        <w:t>前3年内</w:t>
      </w:r>
    </w:p>
    <w:p w14:paraId="66C30514">
      <w:pPr>
        <w:pStyle w:val="8"/>
        <w:spacing w:line="400" w:lineRule="exact"/>
        <w:ind w:firstLine="1446" w:firstLineChars="450"/>
        <w:rPr>
          <w:rFonts w:hAnsi="宋体"/>
          <w:b/>
          <w:color w:val="auto"/>
          <w:sz w:val="32"/>
          <w:szCs w:val="32"/>
          <w:highlight w:val="none"/>
        </w:rPr>
      </w:pPr>
      <w:r>
        <w:rPr>
          <w:rFonts w:hint="eastAsia" w:hAnsi="宋体"/>
          <w:b/>
          <w:color w:val="auto"/>
          <w:sz w:val="32"/>
          <w:szCs w:val="32"/>
          <w:highlight w:val="none"/>
        </w:rPr>
        <w:t>在经营活动中没有重大违法记录的书面声明</w:t>
      </w:r>
    </w:p>
    <w:p w14:paraId="4AA8E82F">
      <w:pPr>
        <w:pStyle w:val="8"/>
        <w:spacing w:line="400" w:lineRule="exact"/>
        <w:ind w:left="420" w:leftChars="200" w:firstLine="157" w:firstLineChars="49"/>
        <w:rPr>
          <w:rFonts w:hAnsi="宋体"/>
          <w:b/>
          <w:color w:val="auto"/>
          <w:sz w:val="32"/>
          <w:szCs w:val="32"/>
          <w:highlight w:val="none"/>
        </w:rPr>
      </w:pPr>
      <w:r>
        <w:rPr>
          <w:rFonts w:hint="eastAsia" w:hAnsi="宋体"/>
          <w:b/>
          <w:color w:val="auto"/>
          <w:sz w:val="32"/>
          <w:szCs w:val="32"/>
          <w:highlight w:val="none"/>
        </w:rPr>
        <w:t xml:space="preserve">                       </w:t>
      </w:r>
    </w:p>
    <w:p w14:paraId="5B31D2BD">
      <w:pPr>
        <w:snapToGrid w:val="0"/>
        <w:spacing w:line="400" w:lineRule="exact"/>
        <w:outlineLvl w:val="4"/>
        <w:rPr>
          <w:rFonts w:hAnsi="宋体"/>
          <w:color w:val="auto"/>
          <w:highlight w:val="none"/>
        </w:rPr>
      </w:pPr>
      <w:r>
        <w:rPr>
          <w:rFonts w:hint="eastAsia" w:hAnsi="宋体"/>
          <w:color w:val="auto"/>
          <w:sz w:val="24"/>
          <w:szCs w:val="24"/>
          <w:highlight w:val="none"/>
          <w:u w:val="single"/>
          <w:lang w:eastAsia="zh-CN"/>
        </w:rPr>
        <w:t>XXXXXXXXXXXX公司</w:t>
      </w:r>
      <w:r>
        <w:rPr>
          <w:rFonts w:hint="eastAsia" w:hAnsi="宋体"/>
          <w:color w:val="auto"/>
          <w:sz w:val="24"/>
          <w:szCs w:val="24"/>
          <w:highlight w:val="none"/>
          <w:u w:val="single"/>
        </w:rPr>
        <w:t>：</w:t>
      </w:r>
    </w:p>
    <w:p w14:paraId="14FBADE1">
      <w:pPr>
        <w:snapToGrid w:val="0"/>
        <w:spacing w:line="400" w:lineRule="exact"/>
        <w:outlineLvl w:val="4"/>
        <w:rPr>
          <w:rFonts w:hAnsi="宋体"/>
          <w:color w:val="auto"/>
          <w:szCs w:val="21"/>
          <w:highlight w:val="none"/>
          <w:u w:val="single"/>
        </w:rPr>
      </w:pPr>
    </w:p>
    <w:p w14:paraId="6F1C1BB3">
      <w:pPr>
        <w:pStyle w:val="8"/>
        <w:spacing w:line="400" w:lineRule="exact"/>
        <w:ind w:firstLine="420" w:firstLineChars="200"/>
        <w:rPr>
          <w:color w:val="auto"/>
          <w:highlight w:val="none"/>
        </w:rPr>
      </w:pPr>
      <w:r>
        <w:rPr>
          <w:rFonts w:hint="eastAsia"/>
          <w:color w:val="auto"/>
          <w:highlight w:val="none"/>
        </w:rPr>
        <w:t>我（公司）郑重声明，在参加</w:t>
      </w:r>
      <w:r>
        <w:rPr>
          <w:rFonts w:hint="eastAsia"/>
          <w:color w:val="auto"/>
          <w:highlight w:val="none"/>
          <w:lang w:val="en-US" w:eastAsia="zh-CN"/>
        </w:rPr>
        <w:t>广西民族艺术宫西面扶梯设备更新项目招标代理服务</w:t>
      </w:r>
      <w:r>
        <w:rPr>
          <w:rFonts w:hint="eastAsia"/>
          <w:color w:val="auto"/>
          <w:highlight w:val="none"/>
        </w:rPr>
        <w:t>前3年内在经营活动中没有重大违法记录（重大违法记录是指</w:t>
      </w:r>
      <w:r>
        <w:rPr>
          <w:rFonts w:hint="eastAsia"/>
          <w:color w:val="auto"/>
          <w:highlight w:val="none"/>
          <w:lang w:val="en-US" w:eastAsia="zh-CN"/>
        </w:rPr>
        <w:t>响应机构</w:t>
      </w:r>
      <w:r>
        <w:rPr>
          <w:rFonts w:hint="eastAsia"/>
          <w:color w:val="auto"/>
          <w:highlight w:val="none"/>
        </w:rPr>
        <w:t>因违法经营受到刑事处罚或者责令停产停业、吊销许可证或者执照、较大数额罚款等行政处罚）。</w:t>
      </w:r>
    </w:p>
    <w:p w14:paraId="614E6A57">
      <w:pPr>
        <w:snapToGrid w:val="0"/>
        <w:spacing w:line="400" w:lineRule="exact"/>
        <w:ind w:firstLine="420"/>
        <w:outlineLvl w:val="4"/>
        <w:rPr>
          <w:rFonts w:hAnsi="宋体"/>
          <w:color w:val="auto"/>
          <w:szCs w:val="21"/>
          <w:highlight w:val="none"/>
        </w:rPr>
      </w:pPr>
    </w:p>
    <w:p w14:paraId="23457DF3">
      <w:pPr>
        <w:snapToGrid w:val="0"/>
        <w:spacing w:line="400" w:lineRule="exact"/>
        <w:ind w:firstLine="420"/>
        <w:outlineLvl w:val="4"/>
        <w:rPr>
          <w:rFonts w:hAnsi="宋体"/>
          <w:color w:val="auto"/>
          <w:szCs w:val="21"/>
          <w:highlight w:val="none"/>
        </w:rPr>
      </w:pPr>
    </w:p>
    <w:p w14:paraId="3016943A">
      <w:pPr>
        <w:snapToGrid w:val="0"/>
        <w:spacing w:line="400" w:lineRule="exact"/>
        <w:ind w:firstLine="4935" w:firstLineChars="2350"/>
        <w:outlineLvl w:val="4"/>
        <w:rPr>
          <w:rFonts w:hAnsi="宋体"/>
          <w:color w:val="auto"/>
          <w:szCs w:val="21"/>
          <w:highlight w:val="none"/>
          <w:u w:val="single"/>
        </w:rPr>
      </w:pPr>
      <w:r>
        <w:rPr>
          <w:rFonts w:hint="eastAsia"/>
          <w:color w:val="auto"/>
          <w:highlight w:val="none"/>
          <w:lang w:val="en-US" w:eastAsia="zh-CN"/>
        </w:rPr>
        <w:t>响应机构</w:t>
      </w:r>
      <w:r>
        <w:rPr>
          <w:rFonts w:hint="eastAsia" w:hAnsi="宋体"/>
          <w:color w:val="auto"/>
          <w:szCs w:val="21"/>
          <w:highlight w:val="none"/>
        </w:rPr>
        <w:t>（公章）：</w:t>
      </w:r>
      <w:r>
        <w:rPr>
          <w:rFonts w:hint="eastAsia" w:hAnsi="宋体"/>
          <w:color w:val="auto"/>
          <w:szCs w:val="21"/>
          <w:highlight w:val="none"/>
          <w:u w:val="single"/>
        </w:rPr>
        <w:t xml:space="preserve">                                         </w:t>
      </w:r>
    </w:p>
    <w:p w14:paraId="32B61877">
      <w:pPr>
        <w:snapToGrid w:val="0"/>
        <w:spacing w:line="400" w:lineRule="exact"/>
        <w:ind w:firstLine="420"/>
        <w:outlineLvl w:val="4"/>
        <w:rPr>
          <w:rFonts w:hAnsi="宋体"/>
          <w:color w:val="auto"/>
          <w:szCs w:val="21"/>
          <w:highlight w:val="none"/>
        </w:rPr>
      </w:pPr>
    </w:p>
    <w:p w14:paraId="59FD580F">
      <w:pPr>
        <w:spacing w:line="340" w:lineRule="exact"/>
        <w:ind w:left="4935" w:leftChars="2350"/>
        <w:rPr>
          <w:rFonts w:hAnsi="宋体"/>
          <w:color w:val="auto"/>
          <w:szCs w:val="21"/>
          <w:highlight w:val="none"/>
          <w:u w:val="single"/>
        </w:rPr>
      </w:pPr>
      <w:r>
        <w:rPr>
          <w:rFonts w:hint="eastAsia" w:hAnsi="宋体"/>
          <w:color w:val="auto"/>
          <w:highlight w:val="none"/>
        </w:rPr>
        <w:t>法定代表人或相应的委托代理人签字或盖章（</w:t>
      </w:r>
      <w:r>
        <w:rPr>
          <w:rFonts w:hint="eastAsia"/>
          <w:color w:val="auto"/>
          <w:highlight w:val="none"/>
          <w:lang w:val="en-US" w:eastAsia="zh-CN"/>
        </w:rPr>
        <w:t>响应机构</w:t>
      </w:r>
      <w:r>
        <w:rPr>
          <w:rFonts w:hint="eastAsia" w:eastAsia="仿宋_GB2312"/>
          <w:color w:val="auto"/>
          <w:highlight w:val="none"/>
        </w:rPr>
        <w:t>若为其他组织形式无法定代表人的应由机构负责人</w:t>
      </w:r>
      <w:r>
        <w:rPr>
          <w:rFonts w:eastAsia="仿宋_GB2312"/>
          <w:color w:val="auto"/>
          <w:highlight w:val="none"/>
        </w:rPr>
        <w:t>签字或盖章</w:t>
      </w:r>
      <w:r>
        <w:rPr>
          <w:rFonts w:hint="eastAsia" w:hAnsi="宋体"/>
          <w:color w:val="auto"/>
          <w:highlight w:val="none"/>
        </w:rPr>
        <w:t>）：</w:t>
      </w:r>
      <w:r>
        <w:rPr>
          <w:rFonts w:hint="eastAsia" w:hAnsi="宋体"/>
          <w:color w:val="auto"/>
          <w:szCs w:val="21"/>
          <w:highlight w:val="none"/>
          <w:u w:val="single"/>
        </w:rPr>
        <w:t xml:space="preserve">                        </w:t>
      </w:r>
    </w:p>
    <w:p w14:paraId="79FCBD88">
      <w:pPr>
        <w:spacing w:line="340" w:lineRule="exact"/>
        <w:ind w:firstLine="420" w:firstLineChars="200"/>
        <w:rPr>
          <w:rFonts w:hAnsi="宋体"/>
          <w:color w:val="auto"/>
          <w:highlight w:val="none"/>
        </w:rPr>
      </w:pPr>
    </w:p>
    <w:p w14:paraId="28E8FFF1">
      <w:pPr>
        <w:snapToGrid w:val="0"/>
        <w:jc w:val="center"/>
        <w:rPr>
          <w:rFonts w:hint="eastAsia" w:hAnsi="宋体"/>
          <w:color w:val="auto"/>
          <w:sz w:val="24"/>
          <w:highlight w:val="none"/>
        </w:rPr>
      </w:pPr>
      <w:r>
        <w:rPr>
          <w:rFonts w:hint="eastAsia" w:hAnsi="宋体"/>
          <w:color w:val="auto"/>
          <w:sz w:val="24"/>
          <w:highlight w:val="none"/>
        </w:rPr>
        <w:t xml:space="preserve">                      日期</w:t>
      </w:r>
      <w:r>
        <w:rPr>
          <w:rFonts w:hint="eastAsia" w:hAnsi="宋体"/>
          <w:color w:val="auto"/>
          <w:sz w:val="24"/>
          <w:highlight w:val="none"/>
          <w:lang w:eastAsia="zh-CN"/>
        </w:rPr>
        <w:t>：</w:t>
      </w:r>
      <w:r>
        <w:rPr>
          <w:rFonts w:hint="eastAsia" w:hAnsi="宋体"/>
          <w:color w:val="auto"/>
          <w:sz w:val="24"/>
          <w:highlight w:val="none"/>
        </w:rPr>
        <w:t>_____年___月___日</w:t>
      </w:r>
    </w:p>
    <w:p w14:paraId="3BE195AE">
      <w:pPr>
        <w:snapToGrid/>
        <w:jc w:val="left"/>
        <w:rPr>
          <w:rFonts w:hint="eastAsia" w:hAnsi="宋体"/>
          <w:color w:val="auto"/>
          <w:sz w:val="24"/>
          <w:highlight w:val="none"/>
        </w:rPr>
      </w:pPr>
      <w:r>
        <w:rPr>
          <w:rFonts w:hint="eastAsia" w:hAnsi="宋体"/>
          <w:color w:val="auto"/>
          <w:sz w:val="24"/>
          <w:highlight w:val="none"/>
        </w:rPr>
        <w:br w:type="page"/>
      </w:r>
    </w:p>
    <w:p w14:paraId="56F65C4B">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附件4</w:t>
      </w:r>
    </w:p>
    <w:p w14:paraId="2FFEE33F">
      <w:pPr>
        <w:spacing w:line="480" w:lineRule="exact"/>
        <w:jc w:val="center"/>
        <w:rPr>
          <w:rFonts w:hint="eastAsia" w:ascii="Times New Roman" w:hAnsi="宋体" w:eastAsia="宋体" w:cs="Times New Roman"/>
          <w:b/>
          <w:color w:val="auto"/>
          <w:sz w:val="24"/>
          <w:szCs w:val="24"/>
          <w:highlight w:val="none"/>
        </w:rPr>
      </w:pPr>
      <w:r>
        <w:rPr>
          <w:rFonts w:hint="eastAsia" w:ascii="Times New Roman" w:hAnsi="宋体" w:eastAsia="宋体" w:cs="Times New Roman"/>
          <w:b/>
          <w:color w:val="auto"/>
          <w:sz w:val="24"/>
          <w:szCs w:val="24"/>
          <w:highlight w:val="none"/>
        </w:rPr>
        <w:t>响应偏离表</w:t>
      </w:r>
    </w:p>
    <w:p w14:paraId="2AA3DBFA">
      <w:pPr>
        <w:pStyle w:val="7"/>
        <w:tabs>
          <w:tab w:val="left" w:pos="4483"/>
          <w:tab w:val="left" w:pos="8530"/>
          <w:tab w:val="left" w:pos="13303"/>
        </w:tabs>
        <w:spacing w:before="76" w:after="57"/>
        <w:ind w:left="126"/>
        <w:rPr>
          <w:rFonts w:ascii="Times New Roman" w:eastAsia="Times New Roman"/>
          <w:u w:val="single"/>
        </w:rPr>
      </w:pPr>
      <w:r>
        <w:t>项目名称：</w:t>
      </w:r>
      <w:r>
        <w:rPr>
          <w:rFonts w:ascii="Times New Roman" w:eastAsia="Times New Roman"/>
          <w:u w:val="single"/>
        </w:rPr>
        <w:t xml:space="preserve"> </w:t>
      </w:r>
      <w:r>
        <w:rPr>
          <w:rFonts w:hint="eastAsia" w:ascii="Times New Roman"/>
          <w:u w:val="single"/>
        </w:rPr>
        <w:t xml:space="preserve"> </w:t>
      </w:r>
      <w:r>
        <w:rPr>
          <w:rFonts w:hint="eastAsia" w:ascii="Times New Roman"/>
          <w:u w:val="single"/>
          <w:lang w:val="en-US" w:eastAsia="zh-CN"/>
        </w:rPr>
        <w:t>广西民族艺术宫</w:t>
      </w:r>
      <w:r>
        <w:rPr>
          <w:rFonts w:hint="eastAsia"/>
          <w:u w:val="single"/>
          <w:lang w:val="en-US" w:eastAsia="zh-CN"/>
        </w:rPr>
        <w:t>西面扶梯</w:t>
      </w:r>
      <w:r>
        <w:rPr>
          <w:rFonts w:hint="eastAsia" w:ascii="Times New Roman"/>
          <w:u w:val="single"/>
          <w:lang w:val="en-US" w:eastAsia="zh-CN"/>
        </w:rPr>
        <w:t>设备更新项目招标代理服务</w:t>
      </w:r>
      <w:r>
        <w:rPr>
          <w:rFonts w:hint="eastAsia" w:ascii="Times New Roman"/>
          <w:u w:val="single"/>
        </w:rPr>
        <w:t xml:space="preserve">                                                                          </w:t>
      </w:r>
      <w:r>
        <w:rPr>
          <w:rFonts w:hint="eastAsia" w:ascii="Times New Roman"/>
        </w:rPr>
        <w:t xml:space="preserve">        </w:t>
      </w:r>
    </w:p>
    <w:tbl>
      <w:tblPr>
        <w:tblStyle w:val="17"/>
        <w:tblW w:w="8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1309"/>
        <w:gridCol w:w="1207"/>
        <w:gridCol w:w="1456"/>
        <w:gridCol w:w="1207"/>
        <w:gridCol w:w="2781"/>
      </w:tblGrid>
      <w:tr w14:paraId="625D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3427" w:type="dxa"/>
            <w:gridSpan w:val="3"/>
            <w:tcBorders>
              <w:top w:val="single" w:color="auto" w:sz="4" w:space="0"/>
              <w:left w:val="single" w:color="auto" w:sz="4" w:space="0"/>
              <w:bottom w:val="single" w:color="auto" w:sz="4" w:space="0"/>
              <w:right w:val="single" w:color="auto" w:sz="4" w:space="0"/>
            </w:tcBorders>
            <w:noWrap w:val="0"/>
            <w:vAlign w:val="center"/>
          </w:tcPr>
          <w:p w14:paraId="79928414">
            <w:pPr>
              <w:pStyle w:val="7"/>
              <w:tabs>
                <w:tab w:val="left" w:pos="4483"/>
                <w:tab w:val="left" w:pos="9157"/>
                <w:tab w:val="left" w:pos="13303"/>
              </w:tabs>
              <w:spacing w:before="76" w:after="57"/>
              <w:ind w:left="126"/>
              <w:rPr>
                <w:b/>
                <w:bCs/>
                <w:sz w:val="24"/>
              </w:rPr>
            </w:pPr>
            <w:r>
              <w:rPr>
                <w:rFonts w:hint="eastAsia"/>
                <w:b/>
                <w:bCs/>
                <w:sz w:val="24"/>
                <w:lang w:val="en-US" w:eastAsia="zh-CN"/>
              </w:rPr>
              <w:t>项目</w:t>
            </w:r>
            <w:r>
              <w:rPr>
                <w:rFonts w:hint="eastAsia"/>
                <w:b/>
                <w:bCs/>
                <w:sz w:val="24"/>
              </w:rPr>
              <w:t>内容</w:t>
            </w:r>
            <w:r>
              <w:rPr>
                <w:rFonts w:hint="eastAsia"/>
                <w:b/>
                <w:bCs/>
                <w:sz w:val="24"/>
                <w:lang w:val="en-US" w:eastAsia="zh-CN"/>
              </w:rPr>
              <w:t>及采购需求</w:t>
            </w:r>
          </w:p>
        </w:tc>
        <w:tc>
          <w:tcPr>
            <w:tcW w:w="2663" w:type="dxa"/>
            <w:gridSpan w:val="2"/>
            <w:tcBorders>
              <w:top w:val="single" w:color="auto" w:sz="4" w:space="0"/>
              <w:left w:val="single" w:color="auto" w:sz="4" w:space="0"/>
              <w:bottom w:val="single" w:color="auto" w:sz="4" w:space="0"/>
              <w:right w:val="single" w:color="auto" w:sz="4" w:space="0"/>
            </w:tcBorders>
            <w:noWrap w:val="0"/>
            <w:vAlign w:val="center"/>
          </w:tcPr>
          <w:p w14:paraId="428EC82A">
            <w:pPr>
              <w:pStyle w:val="7"/>
              <w:tabs>
                <w:tab w:val="left" w:pos="4483"/>
                <w:tab w:val="left" w:pos="9157"/>
                <w:tab w:val="left" w:pos="13303"/>
              </w:tabs>
              <w:spacing w:before="76" w:after="57"/>
              <w:ind w:left="126"/>
              <w:rPr>
                <w:b/>
                <w:bCs/>
                <w:sz w:val="24"/>
              </w:rPr>
            </w:pPr>
            <w:r>
              <w:rPr>
                <w:rFonts w:hint="eastAsia"/>
                <w:b/>
                <w:bCs/>
                <w:sz w:val="24"/>
              </w:rPr>
              <w:t>响应承诺</w:t>
            </w:r>
          </w:p>
        </w:tc>
        <w:tc>
          <w:tcPr>
            <w:tcW w:w="2781" w:type="dxa"/>
            <w:vMerge w:val="restart"/>
            <w:tcBorders>
              <w:top w:val="single" w:color="auto" w:sz="4" w:space="0"/>
              <w:left w:val="single" w:color="auto" w:sz="4" w:space="0"/>
              <w:right w:val="single" w:color="auto" w:sz="4" w:space="0"/>
            </w:tcBorders>
            <w:noWrap w:val="0"/>
            <w:vAlign w:val="center"/>
          </w:tcPr>
          <w:p w14:paraId="6E510BAE">
            <w:pPr>
              <w:pStyle w:val="7"/>
              <w:tabs>
                <w:tab w:val="left" w:pos="4483"/>
                <w:tab w:val="left" w:pos="9157"/>
                <w:tab w:val="left" w:pos="13303"/>
              </w:tabs>
              <w:spacing w:before="76" w:after="57"/>
              <w:ind w:left="126"/>
              <w:rPr>
                <w:b/>
                <w:bCs/>
                <w:sz w:val="24"/>
              </w:rPr>
            </w:pPr>
            <w:r>
              <w:rPr>
                <w:rFonts w:hint="eastAsia"/>
                <w:b/>
                <w:bCs/>
                <w:sz w:val="24"/>
              </w:rPr>
              <w:t>偏离说明</w:t>
            </w:r>
          </w:p>
        </w:tc>
      </w:tr>
      <w:tr w14:paraId="05B8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11" w:type="dxa"/>
            <w:tcBorders>
              <w:top w:val="single" w:color="auto" w:sz="4" w:space="0"/>
              <w:left w:val="single" w:color="auto" w:sz="4" w:space="0"/>
              <w:bottom w:val="single" w:color="auto" w:sz="4" w:space="0"/>
              <w:right w:val="single" w:color="auto" w:sz="4" w:space="0"/>
            </w:tcBorders>
            <w:noWrap w:val="0"/>
            <w:vAlign w:val="center"/>
          </w:tcPr>
          <w:p w14:paraId="31473135">
            <w:pPr>
              <w:jc w:val="center"/>
              <w:rPr>
                <w:rFonts w:ascii="宋体" w:hAnsi="宋体"/>
                <w:b/>
                <w:bCs/>
                <w:szCs w:val="21"/>
              </w:rPr>
            </w:pPr>
            <w:r>
              <w:rPr>
                <w:rFonts w:hint="eastAsia" w:ascii="宋体" w:hAnsi="宋体"/>
                <w:b/>
                <w:bCs/>
                <w:sz w:val="24"/>
              </w:rPr>
              <w:t>序号</w:t>
            </w:r>
          </w:p>
        </w:tc>
        <w:tc>
          <w:tcPr>
            <w:tcW w:w="1309" w:type="dxa"/>
            <w:noWrap w:val="0"/>
            <w:vAlign w:val="center"/>
          </w:tcPr>
          <w:p w14:paraId="4AE6A471">
            <w:pPr>
              <w:jc w:val="center"/>
              <w:rPr>
                <w:rFonts w:hint="eastAsia" w:ascii="宋体" w:hAnsi="宋体"/>
                <w:b/>
                <w:bCs/>
                <w:szCs w:val="21"/>
              </w:rPr>
            </w:pPr>
            <w:r>
              <w:rPr>
                <w:rFonts w:hint="eastAsia" w:ascii="宋体" w:hAnsi="宋体"/>
                <w:b/>
                <w:bCs/>
                <w:szCs w:val="21"/>
              </w:rPr>
              <w:t>条款及要求名称</w:t>
            </w:r>
          </w:p>
        </w:tc>
        <w:tc>
          <w:tcPr>
            <w:tcW w:w="1207" w:type="dxa"/>
            <w:noWrap w:val="0"/>
            <w:vAlign w:val="center"/>
          </w:tcPr>
          <w:p w14:paraId="14EA07AB">
            <w:pPr>
              <w:jc w:val="center"/>
              <w:rPr>
                <w:rFonts w:hint="eastAsia" w:ascii="宋体" w:hAnsi="宋体"/>
                <w:b/>
                <w:bCs/>
                <w:szCs w:val="21"/>
              </w:rPr>
            </w:pPr>
            <w:r>
              <w:rPr>
                <w:rFonts w:hint="eastAsia" w:ascii="宋体" w:hAnsi="宋体"/>
                <w:b/>
                <w:bCs/>
                <w:sz w:val="24"/>
              </w:rPr>
              <w:t>具体要求</w:t>
            </w:r>
          </w:p>
        </w:tc>
        <w:tc>
          <w:tcPr>
            <w:tcW w:w="1456" w:type="dxa"/>
            <w:noWrap w:val="0"/>
            <w:vAlign w:val="center"/>
          </w:tcPr>
          <w:p w14:paraId="5FE8FD00">
            <w:pPr>
              <w:jc w:val="center"/>
              <w:rPr>
                <w:rFonts w:ascii="宋体" w:hAnsi="宋体"/>
                <w:b/>
                <w:bCs/>
                <w:szCs w:val="21"/>
              </w:rPr>
            </w:pPr>
            <w:r>
              <w:rPr>
                <w:rFonts w:hint="eastAsia" w:ascii="宋体" w:hAnsi="宋体"/>
                <w:b/>
                <w:bCs/>
                <w:szCs w:val="21"/>
              </w:rPr>
              <w:t>条款及要求名称</w:t>
            </w:r>
          </w:p>
        </w:tc>
        <w:tc>
          <w:tcPr>
            <w:tcW w:w="1207" w:type="dxa"/>
            <w:noWrap w:val="0"/>
            <w:vAlign w:val="center"/>
          </w:tcPr>
          <w:p w14:paraId="6F516503">
            <w:pPr>
              <w:jc w:val="center"/>
              <w:rPr>
                <w:rFonts w:ascii="宋体" w:hAnsi="宋体"/>
                <w:b/>
                <w:bCs/>
                <w:szCs w:val="21"/>
              </w:rPr>
            </w:pPr>
            <w:r>
              <w:rPr>
                <w:rFonts w:hint="eastAsia" w:ascii="宋体" w:hAnsi="宋体"/>
                <w:b/>
                <w:bCs/>
                <w:sz w:val="24"/>
              </w:rPr>
              <w:t>具体响应承诺</w:t>
            </w:r>
          </w:p>
        </w:tc>
        <w:tc>
          <w:tcPr>
            <w:tcW w:w="2781" w:type="dxa"/>
            <w:vMerge w:val="continue"/>
            <w:tcBorders>
              <w:left w:val="single" w:color="auto" w:sz="4" w:space="0"/>
              <w:right w:val="single" w:color="auto" w:sz="4" w:space="0"/>
            </w:tcBorders>
            <w:noWrap w:val="0"/>
            <w:vAlign w:val="center"/>
          </w:tcPr>
          <w:p w14:paraId="0A24646A">
            <w:pPr>
              <w:jc w:val="center"/>
              <w:rPr>
                <w:rFonts w:ascii="宋体" w:hAnsi="宋体"/>
                <w:b/>
                <w:bCs/>
                <w:szCs w:val="21"/>
              </w:rPr>
            </w:pPr>
          </w:p>
        </w:tc>
      </w:tr>
      <w:tr w14:paraId="7001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911" w:type="dxa"/>
            <w:tcBorders>
              <w:left w:val="single" w:color="auto" w:sz="4" w:space="0"/>
              <w:right w:val="single" w:color="auto" w:sz="4" w:space="0"/>
            </w:tcBorders>
            <w:noWrap w:val="0"/>
            <w:vAlign w:val="center"/>
          </w:tcPr>
          <w:p w14:paraId="20A65A7E">
            <w:pPr>
              <w:jc w:val="center"/>
              <w:rPr>
                <w:rFonts w:hint="eastAsia" w:ascii="宋体" w:hAnsi="宋体"/>
                <w:sz w:val="24"/>
              </w:rPr>
            </w:pPr>
            <w:r>
              <w:rPr>
                <w:rFonts w:hint="eastAsia" w:ascii="宋体" w:hAnsi="宋体"/>
                <w:sz w:val="24"/>
              </w:rPr>
              <w:t>1</w:t>
            </w:r>
          </w:p>
        </w:tc>
        <w:tc>
          <w:tcPr>
            <w:tcW w:w="1309" w:type="dxa"/>
            <w:tcBorders>
              <w:left w:val="single" w:color="auto" w:sz="4" w:space="0"/>
              <w:right w:val="single" w:color="auto" w:sz="4" w:space="0"/>
            </w:tcBorders>
            <w:noWrap w:val="0"/>
            <w:vAlign w:val="center"/>
          </w:tcPr>
          <w:p w14:paraId="4095C4B1">
            <w:pPr>
              <w:jc w:val="center"/>
              <w:rPr>
                <w:rFonts w:ascii="宋体" w:hAnsi="宋体"/>
                <w:sz w:val="24"/>
              </w:rPr>
            </w:pPr>
          </w:p>
        </w:tc>
        <w:tc>
          <w:tcPr>
            <w:tcW w:w="1207" w:type="dxa"/>
            <w:tcBorders>
              <w:top w:val="single" w:color="auto" w:sz="4" w:space="0"/>
              <w:left w:val="single" w:color="auto" w:sz="4" w:space="0"/>
              <w:right w:val="single" w:color="auto" w:sz="4" w:space="0"/>
            </w:tcBorders>
            <w:noWrap w:val="0"/>
            <w:vAlign w:val="center"/>
          </w:tcPr>
          <w:p w14:paraId="62F6BE0A">
            <w:pPr>
              <w:jc w:val="center"/>
              <w:rPr>
                <w:rFonts w:ascii="宋体" w:hAnsi="宋体"/>
                <w:sz w:val="24"/>
              </w:rPr>
            </w:pPr>
          </w:p>
        </w:tc>
        <w:tc>
          <w:tcPr>
            <w:tcW w:w="1456" w:type="dxa"/>
            <w:tcBorders>
              <w:left w:val="single" w:color="auto" w:sz="4" w:space="0"/>
              <w:right w:val="single" w:color="auto" w:sz="4" w:space="0"/>
            </w:tcBorders>
            <w:noWrap w:val="0"/>
            <w:vAlign w:val="center"/>
          </w:tcPr>
          <w:p w14:paraId="3053F996">
            <w:pPr>
              <w:jc w:val="center"/>
              <w:rPr>
                <w:rFonts w:ascii="宋体" w:hAnsi="宋体"/>
                <w:sz w:val="24"/>
              </w:rPr>
            </w:pPr>
          </w:p>
        </w:tc>
        <w:tc>
          <w:tcPr>
            <w:tcW w:w="1207" w:type="dxa"/>
            <w:tcBorders>
              <w:top w:val="single" w:color="auto" w:sz="4" w:space="0"/>
              <w:left w:val="single" w:color="auto" w:sz="4" w:space="0"/>
              <w:right w:val="single" w:color="auto" w:sz="4" w:space="0"/>
            </w:tcBorders>
            <w:noWrap w:val="0"/>
            <w:vAlign w:val="center"/>
          </w:tcPr>
          <w:p w14:paraId="4278CFA1">
            <w:pPr>
              <w:jc w:val="center"/>
              <w:rPr>
                <w:rFonts w:ascii="宋体" w:hAnsi="宋体"/>
                <w:sz w:val="24"/>
              </w:rPr>
            </w:pPr>
          </w:p>
        </w:tc>
        <w:tc>
          <w:tcPr>
            <w:tcW w:w="2781" w:type="dxa"/>
            <w:tcBorders>
              <w:top w:val="single" w:color="auto" w:sz="4" w:space="0"/>
              <w:left w:val="single" w:color="auto" w:sz="4" w:space="0"/>
              <w:right w:val="single" w:color="auto" w:sz="4" w:space="0"/>
            </w:tcBorders>
            <w:noWrap w:val="0"/>
            <w:vAlign w:val="center"/>
          </w:tcPr>
          <w:p w14:paraId="192BCDB0">
            <w:pPr>
              <w:jc w:val="center"/>
              <w:rPr>
                <w:rFonts w:ascii="宋体" w:hAnsi="宋体"/>
                <w:sz w:val="24"/>
              </w:rPr>
            </w:pPr>
          </w:p>
        </w:tc>
      </w:tr>
      <w:tr w14:paraId="40B7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exact"/>
        </w:trPr>
        <w:tc>
          <w:tcPr>
            <w:tcW w:w="911" w:type="dxa"/>
            <w:tcBorders>
              <w:left w:val="single" w:color="auto" w:sz="4" w:space="0"/>
              <w:right w:val="single" w:color="auto" w:sz="4" w:space="0"/>
            </w:tcBorders>
            <w:noWrap w:val="0"/>
            <w:vAlign w:val="center"/>
          </w:tcPr>
          <w:p w14:paraId="5414FF45">
            <w:pPr>
              <w:jc w:val="center"/>
              <w:rPr>
                <w:rFonts w:hint="eastAsia" w:ascii="宋体" w:hAnsi="宋体"/>
                <w:sz w:val="24"/>
              </w:rPr>
            </w:pPr>
            <w:r>
              <w:rPr>
                <w:rFonts w:hint="eastAsia" w:ascii="宋体" w:hAnsi="宋体"/>
                <w:sz w:val="24"/>
              </w:rPr>
              <w:t>2</w:t>
            </w:r>
          </w:p>
        </w:tc>
        <w:tc>
          <w:tcPr>
            <w:tcW w:w="1309" w:type="dxa"/>
            <w:tcBorders>
              <w:left w:val="single" w:color="auto" w:sz="4" w:space="0"/>
              <w:right w:val="single" w:color="auto" w:sz="4" w:space="0"/>
            </w:tcBorders>
            <w:noWrap w:val="0"/>
            <w:vAlign w:val="center"/>
          </w:tcPr>
          <w:p w14:paraId="3E9BA9C2">
            <w:pPr>
              <w:jc w:val="center"/>
              <w:rPr>
                <w:rFonts w:ascii="宋体" w:hAnsi="宋体"/>
                <w:sz w:val="24"/>
              </w:rPr>
            </w:pPr>
          </w:p>
        </w:tc>
        <w:tc>
          <w:tcPr>
            <w:tcW w:w="1207" w:type="dxa"/>
            <w:tcBorders>
              <w:top w:val="single" w:color="auto" w:sz="4" w:space="0"/>
              <w:left w:val="single" w:color="auto" w:sz="4" w:space="0"/>
              <w:right w:val="single" w:color="auto" w:sz="4" w:space="0"/>
            </w:tcBorders>
            <w:noWrap w:val="0"/>
            <w:vAlign w:val="center"/>
          </w:tcPr>
          <w:p w14:paraId="7AF1C02B">
            <w:pPr>
              <w:jc w:val="center"/>
              <w:rPr>
                <w:rFonts w:hint="eastAsia" w:ascii="宋体" w:hAnsi="宋体"/>
                <w:sz w:val="24"/>
              </w:rPr>
            </w:pPr>
          </w:p>
        </w:tc>
        <w:tc>
          <w:tcPr>
            <w:tcW w:w="1456" w:type="dxa"/>
            <w:tcBorders>
              <w:left w:val="single" w:color="auto" w:sz="4" w:space="0"/>
              <w:right w:val="single" w:color="auto" w:sz="4" w:space="0"/>
            </w:tcBorders>
            <w:noWrap w:val="0"/>
            <w:vAlign w:val="center"/>
          </w:tcPr>
          <w:p w14:paraId="1106A03F">
            <w:pPr>
              <w:jc w:val="center"/>
              <w:rPr>
                <w:rFonts w:ascii="宋体" w:hAnsi="宋体"/>
                <w:sz w:val="24"/>
              </w:rPr>
            </w:pPr>
          </w:p>
        </w:tc>
        <w:tc>
          <w:tcPr>
            <w:tcW w:w="1207" w:type="dxa"/>
            <w:tcBorders>
              <w:top w:val="single" w:color="auto" w:sz="4" w:space="0"/>
              <w:left w:val="single" w:color="auto" w:sz="4" w:space="0"/>
              <w:right w:val="single" w:color="auto" w:sz="4" w:space="0"/>
            </w:tcBorders>
            <w:noWrap w:val="0"/>
            <w:vAlign w:val="center"/>
          </w:tcPr>
          <w:p w14:paraId="17236FE3">
            <w:pPr>
              <w:jc w:val="center"/>
              <w:rPr>
                <w:rFonts w:hint="eastAsia" w:ascii="宋体" w:hAnsi="宋体"/>
                <w:sz w:val="24"/>
              </w:rPr>
            </w:pPr>
          </w:p>
        </w:tc>
        <w:tc>
          <w:tcPr>
            <w:tcW w:w="2781" w:type="dxa"/>
            <w:tcBorders>
              <w:top w:val="single" w:color="auto" w:sz="4" w:space="0"/>
              <w:left w:val="single" w:color="auto" w:sz="4" w:space="0"/>
              <w:right w:val="single" w:color="auto" w:sz="4" w:space="0"/>
            </w:tcBorders>
            <w:noWrap w:val="0"/>
            <w:vAlign w:val="center"/>
          </w:tcPr>
          <w:p w14:paraId="05E9C21B">
            <w:pPr>
              <w:jc w:val="center"/>
              <w:rPr>
                <w:rFonts w:ascii="宋体" w:hAnsi="宋体"/>
                <w:sz w:val="24"/>
              </w:rPr>
            </w:pPr>
          </w:p>
        </w:tc>
      </w:tr>
      <w:tr w14:paraId="4EED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911" w:type="dxa"/>
            <w:tcBorders>
              <w:top w:val="single" w:color="auto" w:sz="4" w:space="0"/>
              <w:left w:val="single" w:color="auto" w:sz="4" w:space="0"/>
              <w:bottom w:val="single" w:color="auto" w:sz="4" w:space="0"/>
              <w:right w:val="single" w:color="auto" w:sz="4" w:space="0"/>
            </w:tcBorders>
            <w:noWrap w:val="0"/>
            <w:vAlign w:val="center"/>
          </w:tcPr>
          <w:p w14:paraId="00CF243C">
            <w:pPr>
              <w:jc w:val="center"/>
              <w:rPr>
                <w:rFonts w:ascii="宋体" w:hAnsi="宋体"/>
                <w:sz w:val="24"/>
              </w:rPr>
            </w:pPr>
            <w:r>
              <w:rPr>
                <w:rFonts w:hint="eastAsia" w:ascii="宋体" w:hAnsi="宋体"/>
                <w:sz w:val="24"/>
              </w:rPr>
              <w:t>...</w:t>
            </w:r>
          </w:p>
        </w:tc>
        <w:tc>
          <w:tcPr>
            <w:tcW w:w="1309" w:type="dxa"/>
            <w:tcBorders>
              <w:top w:val="single" w:color="auto" w:sz="4" w:space="0"/>
              <w:left w:val="single" w:color="auto" w:sz="4" w:space="0"/>
              <w:bottom w:val="single" w:color="auto" w:sz="4" w:space="0"/>
              <w:right w:val="single" w:color="auto" w:sz="4" w:space="0"/>
            </w:tcBorders>
            <w:noWrap w:val="0"/>
            <w:vAlign w:val="center"/>
          </w:tcPr>
          <w:p w14:paraId="70A9C486">
            <w:pPr>
              <w:jc w:val="center"/>
              <w:rPr>
                <w:rFonts w:ascii="宋体" w:hAnsi="宋体"/>
                <w:sz w:val="24"/>
              </w:rPr>
            </w:pPr>
          </w:p>
        </w:tc>
        <w:tc>
          <w:tcPr>
            <w:tcW w:w="1207" w:type="dxa"/>
            <w:tcBorders>
              <w:top w:val="single" w:color="auto" w:sz="4" w:space="0"/>
              <w:left w:val="single" w:color="auto" w:sz="4" w:space="0"/>
              <w:bottom w:val="single" w:color="auto" w:sz="4" w:space="0"/>
              <w:right w:val="single" w:color="auto" w:sz="4" w:space="0"/>
            </w:tcBorders>
            <w:noWrap w:val="0"/>
            <w:vAlign w:val="center"/>
          </w:tcPr>
          <w:p w14:paraId="7E214312">
            <w:pPr>
              <w:jc w:val="center"/>
              <w:rPr>
                <w:rFonts w:ascii="宋体" w:hAnsi="宋体"/>
                <w:sz w:val="24"/>
              </w:rPr>
            </w:pPr>
          </w:p>
        </w:tc>
        <w:tc>
          <w:tcPr>
            <w:tcW w:w="1456" w:type="dxa"/>
            <w:tcBorders>
              <w:top w:val="single" w:color="auto" w:sz="4" w:space="0"/>
              <w:left w:val="single" w:color="auto" w:sz="4" w:space="0"/>
              <w:bottom w:val="single" w:color="auto" w:sz="4" w:space="0"/>
              <w:right w:val="single" w:color="auto" w:sz="4" w:space="0"/>
            </w:tcBorders>
            <w:noWrap w:val="0"/>
            <w:vAlign w:val="center"/>
          </w:tcPr>
          <w:p w14:paraId="1BA131CC">
            <w:pPr>
              <w:jc w:val="center"/>
              <w:rPr>
                <w:rFonts w:ascii="宋体" w:hAnsi="宋体"/>
                <w:sz w:val="24"/>
              </w:rPr>
            </w:pPr>
          </w:p>
        </w:tc>
        <w:tc>
          <w:tcPr>
            <w:tcW w:w="1207" w:type="dxa"/>
            <w:tcBorders>
              <w:top w:val="single" w:color="auto" w:sz="4" w:space="0"/>
              <w:left w:val="single" w:color="auto" w:sz="4" w:space="0"/>
              <w:bottom w:val="single" w:color="auto" w:sz="4" w:space="0"/>
              <w:right w:val="single" w:color="auto" w:sz="4" w:space="0"/>
            </w:tcBorders>
            <w:noWrap w:val="0"/>
            <w:vAlign w:val="center"/>
          </w:tcPr>
          <w:p w14:paraId="1CCE7BC2">
            <w:pPr>
              <w:jc w:val="center"/>
              <w:rPr>
                <w:rFonts w:ascii="宋体" w:hAnsi="宋体"/>
                <w:sz w:val="24"/>
              </w:rPr>
            </w:pPr>
          </w:p>
        </w:tc>
        <w:tc>
          <w:tcPr>
            <w:tcW w:w="2781" w:type="dxa"/>
            <w:tcBorders>
              <w:top w:val="single" w:color="auto" w:sz="4" w:space="0"/>
              <w:left w:val="single" w:color="auto" w:sz="4" w:space="0"/>
              <w:bottom w:val="single" w:color="auto" w:sz="4" w:space="0"/>
              <w:right w:val="single" w:color="auto" w:sz="4" w:space="0"/>
            </w:tcBorders>
            <w:noWrap w:val="0"/>
            <w:vAlign w:val="center"/>
          </w:tcPr>
          <w:p w14:paraId="5369CAA3">
            <w:pPr>
              <w:jc w:val="center"/>
              <w:rPr>
                <w:rFonts w:ascii="宋体" w:hAnsi="宋体"/>
                <w:sz w:val="24"/>
              </w:rPr>
            </w:pPr>
          </w:p>
        </w:tc>
      </w:tr>
    </w:tbl>
    <w:p w14:paraId="231D5631">
      <w:pPr>
        <w:pStyle w:val="7"/>
        <w:spacing w:before="1"/>
        <w:ind w:left="229" w:right="232"/>
        <w:rPr>
          <w:w w:val="95"/>
        </w:rPr>
      </w:pPr>
    </w:p>
    <w:p w14:paraId="553A7ABE">
      <w:pPr>
        <w:pStyle w:val="7"/>
        <w:spacing w:before="1"/>
        <w:ind w:left="229" w:right="232"/>
        <w:rPr>
          <w:rFonts w:hint="default" w:eastAsia="宋体"/>
          <w:w w:val="95"/>
          <w:lang w:val="en-US" w:eastAsia="zh-CN"/>
        </w:rPr>
      </w:pPr>
      <w:r>
        <w:rPr>
          <w:w w:val="95"/>
        </w:rPr>
        <w:t>注：</w:t>
      </w:r>
      <w:r>
        <w:rPr>
          <w:rFonts w:hint="eastAsia"/>
          <w:w w:val="95"/>
        </w:rPr>
        <w:t>根据</w:t>
      </w:r>
      <w:r>
        <w:rPr>
          <w:rFonts w:hint="eastAsia"/>
          <w:w w:val="95"/>
          <w:lang w:val="en-US" w:eastAsia="zh-CN"/>
        </w:rPr>
        <w:t>响应机构</w:t>
      </w:r>
      <w:r>
        <w:rPr>
          <w:rFonts w:hint="eastAsia"/>
          <w:w w:val="95"/>
        </w:rPr>
        <w:t>的实际响应，响应偏离表必须对</w:t>
      </w:r>
      <w:r>
        <w:rPr>
          <w:rFonts w:hint="eastAsia"/>
          <w:w w:val="95"/>
          <w:lang w:val="en-US" w:eastAsia="zh-CN"/>
        </w:rPr>
        <w:t>本</w:t>
      </w:r>
      <w:r>
        <w:rPr>
          <w:rFonts w:hint="eastAsia"/>
          <w:w w:val="95"/>
        </w:rPr>
        <w:t>文件的“</w:t>
      </w:r>
      <w:r>
        <w:rPr>
          <w:rFonts w:hint="eastAsia"/>
          <w:w w:val="95"/>
          <w:lang w:val="en-US" w:eastAsia="zh-CN"/>
        </w:rPr>
        <w:t>项目</w:t>
      </w:r>
      <w:r>
        <w:rPr>
          <w:rFonts w:hint="eastAsia"/>
          <w:w w:val="95"/>
        </w:rPr>
        <w:t>内容</w:t>
      </w:r>
      <w:r>
        <w:rPr>
          <w:rFonts w:hint="eastAsia"/>
          <w:w w:val="95"/>
          <w:lang w:val="en-US" w:eastAsia="zh-CN"/>
        </w:rPr>
        <w:t>及采购需求</w:t>
      </w:r>
      <w:r>
        <w:rPr>
          <w:rFonts w:hint="eastAsia"/>
          <w:w w:val="95"/>
        </w:rPr>
        <w:t>”逐条响应并作出偏离说明。“偏离说明”一栏选择“正偏离</w:t>
      </w:r>
      <w:r>
        <w:rPr>
          <w:rFonts w:hint="eastAsia"/>
          <w:w w:val="95"/>
          <w:lang w:eastAsia="zh-CN"/>
        </w:rPr>
        <w:t>”“</w:t>
      </w:r>
      <w:r>
        <w:rPr>
          <w:rFonts w:hint="eastAsia"/>
          <w:w w:val="95"/>
        </w:rPr>
        <w:t>负偏离”或“无偏离”进行填写</w:t>
      </w:r>
      <w:r>
        <w:t>。</w:t>
      </w:r>
      <w:r>
        <w:rPr>
          <w:rFonts w:hint="eastAsia"/>
          <w:w w:val="95"/>
        </w:rPr>
        <w:t>响应与采购文件要求相同的为无偏离，高于采购文件要求的为正偏离，低于采购文件要求的为负偏离。</w:t>
      </w:r>
      <w:r>
        <w:rPr>
          <w:rFonts w:hint="eastAsia"/>
          <w:w w:val="95"/>
          <w:lang w:val="en-US" w:eastAsia="zh-CN"/>
        </w:rPr>
        <w:t>出现任意负偏离情形，响应文件报价无效。</w:t>
      </w:r>
    </w:p>
    <w:p w14:paraId="674D2FD6">
      <w:pPr>
        <w:pStyle w:val="7"/>
        <w:tabs>
          <w:tab w:val="left" w:pos="4429"/>
          <w:tab w:val="left" w:pos="8471"/>
        </w:tabs>
        <w:ind w:left="3800"/>
        <w:jc w:val="right"/>
        <w:rPr>
          <w:rFonts w:ascii="Times New Roman" w:eastAsia="Times New Roman"/>
        </w:rPr>
      </w:pPr>
      <w:r>
        <w:rPr>
          <w:rFonts w:hint="eastAsia"/>
          <w:w w:val="95"/>
          <w:lang w:val="en-US" w:eastAsia="zh-CN"/>
        </w:rPr>
        <w:t>响应机构</w:t>
      </w:r>
      <w:r>
        <w:rPr>
          <w:rFonts w:hint="eastAsia"/>
          <w:w w:val="95"/>
        </w:rPr>
        <w:t>（公章）</w:t>
      </w:r>
      <w:r>
        <w:rPr>
          <w:w w:val="95"/>
        </w:rPr>
        <w:t>：</w:t>
      </w:r>
      <w:r>
        <w:rPr>
          <w:rFonts w:ascii="Times New Roman" w:eastAsia="Times New Roman"/>
          <w:w w:val="95"/>
          <w:u w:val="single"/>
        </w:rPr>
        <w:t xml:space="preserve"> </w:t>
      </w:r>
      <w:r>
        <w:rPr>
          <w:rFonts w:ascii="Times New Roman" w:eastAsia="Times New Roman"/>
          <w:u w:val="single"/>
        </w:rPr>
        <w:tab/>
      </w:r>
    </w:p>
    <w:p w14:paraId="469DBC6B">
      <w:pPr>
        <w:pStyle w:val="7"/>
        <w:spacing w:before="4"/>
        <w:jc w:val="right"/>
        <w:rPr>
          <w:rFonts w:ascii="Times New Roman"/>
        </w:rPr>
      </w:pPr>
    </w:p>
    <w:p w14:paraId="0543F54C">
      <w:pPr>
        <w:pStyle w:val="7"/>
        <w:tabs>
          <w:tab w:val="left" w:pos="8471"/>
        </w:tabs>
        <w:spacing w:before="77"/>
        <w:ind w:left="3800"/>
        <w:jc w:val="right"/>
        <w:rPr>
          <w:rFonts w:ascii="Times New Roman" w:eastAsia="Times New Roman"/>
        </w:rPr>
      </w:pPr>
      <w:r>
        <w:rPr>
          <w:w w:val="95"/>
        </w:rPr>
        <w:t>法定代表人或委托代理人（签字或盖章）：</w:t>
      </w:r>
      <w:r>
        <w:rPr>
          <w:rFonts w:ascii="Times New Roman" w:eastAsia="Times New Roman"/>
          <w:w w:val="95"/>
          <w:u w:val="single"/>
        </w:rPr>
        <w:t xml:space="preserve"> </w:t>
      </w:r>
      <w:r>
        <w:rPr>
          <w:rFonts w:ascii="Times New Roman" w:eastAsia="Times New Roman"/>
          <w:u w:val="single"/>
        </w:rPr>
        <w:tab/>
      </w:r>
    </w:p>
    <w:p w14:paraId="2BF661F9">
      <w:pPr>
        <w:pStyle w:val="7"/>
        <w:spacing w:before="1"/>
        <w:jc w:val="right"/>
        <w:rPr>
          <w:rFonts w:ascii="Times New Roman"/>
        </w:rPr>
      </w:pPr>
    </w:p>
    <w:p w14:paraId="512E4057">
      <w:pPr>
        <w:pStyle w:val="7"/>
        <w:tabs>
          <w:tab w:val="left" w:pos="5163"/>
          <w:tab w:val="left" w:pos="8471"/>
        </w:tabs>
        <w:spacing w:before="70"/>
        <w:ind w:left="3800"/>
        <w:jc w:val="right"/>
        <w:rPr>
          <w:rFonts w:hint="default" w:ascii="Times New Roman" w:eastAsia="Times New Roman"/>
          <w:lang w:val="en-US" w:eastAsia="zh-CN"/>
        </w:rPr>
      </w:pPr>
      <w:r>
        <w:rPr>
          <w:w w:val="95"/>
        </w:rPr>
        <w:t>日</w:t>
      </w:r>
      <w:r>
        <w:tab/>
      </w:r>
      <w:r>
        <w:rPr>
          <w:w w:val="95"/>
        </w:rPr>
        <w:t>期：</w:t>
      </w:r>
      <w:r>
        <w:rPr>
          <w:rFonts w:ascii="Times New Roman" w:eastAsia="Times New Roman"/>
          <w:w w:val="95"/>
          <w:u w:val="single"/>
        </w:rPr>
        <w:t xml:space="preserve"> </w:t>
      </w:r>
      <w:r>
        <w:rPr>
          <w:rFonts w:ascii="Times New Roman" w:eastAsia="Times New Roman"/>
          <w:u w:val="single"/>
        </w:rPr>
        <w:tab/>
      </w:r>
    </w:p>
    <w:p w14:paraId="27EF2779">
      <w:pPr>
        <w:overflowPunct/>
        <w:spacing w:line="240" w:lineRule="auto"/>
        <w:jc w:val="both"/>
        <w:rPr>
          <w:rFonts w:hint="default" w:ascii="宋体" w:hAnsi="宋体" w:cs="宋体"/>
          <w:sz w:val="24"/>
          <w:lang w:val="en-US" w:eastAsia="zh-CN"/>
        </w:rPr>
      </w:pPr>
    </w:p>
    <w:p w14:paraId="066280AF">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br w:type="page"/>
      </w:r>
    </w:p>
    <w:p w14:paraId="3C3A9353">
      <w:pPr>
        <w:pStyle w:val="48"/>
        <w:rPr>
          <w:rFonts w:hint="eastAsia" w:ascii="黑体" w:hAnsi="黑体" w:eastAsia="黑体" w:cs="黑体"/>
          <w:color w:val="auto"/>
          <w:w w:val="100"/>
          <w:sz w:val="32"/>
          <w:szCs w:val="32"/>
          <w:lang w:val="en-US" w:eastAsia="zh-CN"/>
        </w:rPr>
      </w:pPr>
      <w:r>
        <w:rPr>
          <w:rFonts w:hint="eastAsia" w:ascii="黑体" w:hAnsi="黑体" w:eastAsia="黑体" w:cs="黑体"/>
          <w:color w:val="auto"/>
          <w:w w:val="100"/>
          <w:sz w:val="32"/>
          <w:szCs w:val="32"/>
          <w:lang w:val="en-US" w:eastAsia="zh-CN"/>
        </w:rPr>
        <w:t>附件5</w:t>
      </w:r>
    </w:p>
    <w:p w14:paraId="2928D299">
      <w:pPr>
        <w:spacing w:line="480" w:lineRule="exact"/>
        <w:jc w:val="center"/>
        <w:rPr>
          <w:rFonts w:hint="eastAsia" w:hAnsi="Times New Roman"/>
          <w:b w:val="0"/>
          <w:bCs w:val="0"/>
          <w:i w:val="0"/>
          <w:iCs w:val="0"/>
          <w:color w:val="auto"/>
          <w:szCs w:val="21"/>
          <w:lang w:val="en-US" w:eastAsia="zh-CN"/>
        </w:rPr>
      </w:pPr>
      <w:r>
        <w:rPr>
          <w:rFonts w:hint="eastAsia" w:ascii="Times New Roman" w:hAnsi="宋体" w:cs="Times New Roman"/>
          <w:b/>
          <w:bCs w:val="0"/>
          <w:color w:val="auto"/>
          <w:sz w:val="24"/>
          <w:szCs w:val="24"/>
          <w:highlight w:val="none"/>
          <w:lang w:val="en-US" w:eastAsia="zh-CN"/>
        </w:rPr>
        <w:t>广西民族艺术宫西面扶梯设备更新项目招标代理服务项目评分标准</w:t>
      </w:r>
    </w:p>
    <w:p w14:paraId="561241C9">
      <w:pPr>
        <w:ind w:firstLine="420" w:firstLineChars="200"/>
        <w:jc w:val="left"/>
        <w:rPr>
          <w:rFonts w:hint="eastAsia" w:hAnsi="Times New Roman" w:eastAsia="宋体"/>
          <w:color w:val="auto"/>
          <w:szCs w:val="21"/>
          <w:lang w:eastAsia="zh-CN"/>
        </w:rPr>
      </w:pPr>
      <w:r>
        <w:rPr>
          <w:rFonts w:hint="eastAsia" w:hAnsi="Times New Roman"/>
          <w:b w:val="0"/>
          <w:bCs w:val="0"/>
          <w:i w:val="0"/>
          <w:iCs w:val="0"/>
          <w:color w:val="auto"/>
          <w:szCs w:val="21"/>
          <w:lang w:val="en-US" w:eastAsia="zh-CN"/>
        </w:rPr>
        <w:t>本项目</w:t>
      </w:r>
      <w:r>
        <w:rPr>
          <w:rFonts w:hint="eastAsia" w:hAnsi="Times New Roman"/>
          <w:bCs w:val="0"/>
          <w:color w:val="auto"/>
          <w:szCs w:val="21"/>
        </w:rPr>
        <w:t>对进入详评的，采用百分制综合评分法</w:t>
      </w:r>
      <w:r>
        <w:rPr>
          <w:rFonts w:hint="eastAsia" w:hAnsi="Times New Roman"/>
          <w:bCs w:val="0"/>
          <w:color w:val="auto"/>
          <w:szCs w:val="21"/>
          <w:lang w:eastAsia="zh-CN"/>
        </w:rPr>
        <w:t>，</w:t>
      </w:r>
      <w:r>
        <w:rPr>
          <w:rFonts w:hint="eastAsia" w:hAnsi="Times New Roman"/>
          <w:color w:val="auto"/>
          <w:szCs w:val="21"/>
        </w:rPr>
        <w:t>计分办法按四舍五入取至百分位</w:t>
      </w:r>
      <w:r>
        <w:rPr>
          <w:rFonts w:hint="eastAsia" w:hAnsi="Times New Roman"/>
          <w:color w:val="auto"/>
          <w:szCs w:val="21"/>
          <w:lang w:eastAsia="zh-CN"/>
        </w:rPr>
        <w:t>。</w:t>
      </w:r>
    </w:p>
    <w:tbl>
      <w:tblPr>
        <w:tblStyle w:val="17"/>
        <w:tblW w:w="103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2"/>
        <w:gridCol w:w="1865"/>
        <w:gridCol w:w="6928"/>
        <w:gridCol w:w="892"/>
      </w:tblGrid>
      <w:tr w14:paraId="4AAF5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76B1EB22">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1865" w:type="dxa"/>
            <w:tcBorders>
              <w:left w:val="single" w:color="000000" w:sz="4" w:space="0"/>
              <w:right w:val="single" w:color="000000" w:sz="4" w:space="0"/>
            </w:tcBorders>
            <w:noWrap w:val="0"/>
            <w:vAlign w:val="center"/>
          </w:tcPr>
          <w:p w14:paraId="5989AD85">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6928" w:type="dxa"/>
            <w:tcBorders>
              <w:left w:val="single" w:color="000000" w:sz="4" w:space="0"/>
              <w:right w:val="single" w:color="000000" w:sz="4" w:space="0"/>
            </w:tcBorders>
            <w:noWrap w:val="0"/>
            <w:vAlign w:val="center"/>
          </w:tcPr>
          <w:p w14:paraId="029608E8">
            <w:pPr>
              <w:spacing w:line="360" w:lineRule="auto"/>
              <w:ind w:firstLine="422" w:firstLineChars="200"/>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评审因素具体内容</w:t>
            </w:r>
          </w:p>
        </w:tc>
        <w:tc>
          <w:tcPr>
            <w:tcW w:w="892" w:type="dxa"/>
            <w:tcBorders>
              <w:left w:val="single" w:color="000000" w:sz="4" w:space="0"/>
              <w:right w:val="single" w:color="000000" w:sz="4" w:space="0"/>
            </w:tcBorders>
            <w:noWrap w:val="0"/>
            <w:vAlign w:val="center"/>
          </w:tcPr>
          <w:p w14:paraId="300FB483">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分值</w:t>
            </w:r>
          </w:p>
        </w:tc>
      </w:tr>
      <w:tr w14:paraId="23F0C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71D045A8">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1</w:t>
            </w:r>
          </w:p>
        </w:tc>
        <w:tc>
          <w:tcPr>
            <w:tcW w:w="1865" w:type="dxa"/>
            <w:tcBorders>
              <w:left w:val="single" w:color="000000" w:sz="4" w:space="0"/>
              <w:right w:val="single" w:color="000000" w:sz="4" w:space="0"/>
            </w:tcBorders>
            <w:noWrap w:val="0"/>
            <w:vAlign w:val="center"/>
          </w:tcPr>
          <w:p w14:paraId="63366598">
            <w:pPr>
              <w:spacing w:line="36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rPr>
              <w:t>价格分</w:t>
            </w:r>
          </w:p>
        </w:tc>
        <w:tc>
          <w:tcPr>
            <w:tcW w:w="6928" w:type="dxa"/>
            <w:tcBorders>
              <w:left w:val="single" w:color="000000" w:sz="4" w:space="0"/>
              <w:right w:val="single" w:color="000000" w:sz="4" w:space="0"/>
            </w:tcBorders>
            <w:noWrap w:val="0"/>
            <w:vAlign w:val="center"/>
          </w:tcPr>
          <w:p w14:paraId="33C4FE79">
            <w:pPr>
              <w:ind w:firstLine="420" w:firstLineChars="200"/>
              <w:rPr>
                <w:rFonts w:hint="eastAsia" w:eastAsia="宋体"/>
                <w:color w:val="auto"/>
                <w:szCs w:val="21"/>
                <w:lang w:val="en-US" w:eastAsia="zh-CN"/>
              </w:rPr>
            </w:pPr>
            <w:r>
              <w:rPr>
                <w:rFonts w:hint="eastAsia" w:eastAsia="宋体"/>
                <w:color w:val="auto"/>
                <w:szCs w:val="21"/>
                <w:lang w:val="en-US" w:eastAsia="zh-CN"/>
              </w:rPr>
              <w:t>本项目</w:t>
            </w:r>
            <w:r>
              <w:rPr>
                <w:rFonts w:hint="eastAsia"/>
                <w:color w:val="auto"/>
                <w:szCs w:val="21"/>
                <w:lang w:val="en-US" w:eastAsia="zh-CN"/>
              </w:rPr>
              <w:t>响应机构</w:t>
            </w:r>
            <w:r>
              <w:rPr>
                <w:rFonts w:hint="eastAsia" w:eastAsia="宋体"/>
                <w:color w:val="auto"/>
                <w:szCs w:val="21"/>
                <w:lang w:val="en-US" w:eastAsia="zh-CN"/>
              </w:rPr>
              <w:t>填报报价为一次性包干总价，</w:t>
            </w:r>
            <w:r>
              <w:rPr>
                <w:rFonts w:hint="eastAsia"/>
                <w:color w:val="auto"/>
                <w:szCs w:val="21"/>
                <w:lang w:val="en-US" w:eastAsia="zh-CN"/>
              </w:rPr>
              <w:t>响应机构</w:t>
            </w:r>
            <w:r>
              <w:rPr>
                <w:rFonts w:hint="eastAsia" w:eastAsia="宋体"/>
                <w:color w:val="auto"/>
                <w:szCs w:val="21"/>
                <w:lang w:val="en-US" w:eastAsia="zh-CN"/>
              </w:rPr>
              <w:t>须将采购需求范围内全部工作内容计入总价，未列明、漏报的工作内容费用均视为已包含在总报价内，成交后不予增补任何费用。</w:t>
            </w:r>
          </w:p>
          <w:p w14:paraId="7AFD0EED">
            <w:pPr>
              <w:spacing w:line="360" w:lineRule="auto"/>
              <w:ind w:firstLine="420" w:firstLineChars="200"/>
              <w:rPr>
                <w:rFonts w:hint="eastAsia"/>
              </w:rPr>
            </w:pPr>
            <w:r>
              <w:rPr>
                <w:rFonts w:hint="eastAsia"/>
              </w:rPr>
              <w:t>（1）价格分计算公式：</w:t>
            </w:r>
          </w:p>
          <w:p w14:paraId="0BE91C25">
            <w:pPr>
              <w:spacing w:line="360" w:lineRule="auto"/>
              <w:ind w:firstLine="420" w:firstLineChars="200"/>
              <w:rPr>
                <w:rFonts w:hint="eastAsia"/>
              </w:rPr>
            </w:pPr>
            <w:r>
              <w:rPr>
                <w:rFonts w:hint="eastAsia"/>
              </w:rPr>
              <w:t>有效报价范围：为报价低于或等于最高报价总价限价上限， 通过资格评审、符合性评审的</w:t>
            </w:r>
            <w:r>
              <w:rPr>
                <w:rFonts w:hint="eastAsia"/>
                <w:lang w:eastAsia="zh-CN"/>
              </w:rPr>
              <w:t>响应机构</w:t>
            </w:r>
            <w:r>
              <w:rPr>
                <w:rFonts w:hint="eastAsia"/>
              </w:rPr>
              <w:t>报价。</w:t>
            </w:r>
          </w:p>
          <w:p w14:paraId="48220481">
            <w:pPr>
              <w:spacing w:line="360" w:lineRule="auto"/>
              <w:ind w:firstLine="420" w:firstLineChars="200"/>
              <w:rPr>
                <w:rFonts w:hint="eastAsia"/>
              </w:rPr>
            </w:pPr>
            <w:r>
              <w:rPr>
                <w:rFonts w:hint="eastAsia"/>
                <w:lang w:eastAsia="zh-CN"/>
              </w:rPr>
              <w:t>响应文件</w:t>
            </w:r>
            <w:r>
              <w:rPr>
                <w:rFonts w:hint="eastAsia"/>
              </w:rPr>
              <w:t>中的报价分计算方法 如下：</w:t>
            </w:r>
          </w:p>
          <w:p w14:paraId="6781AF30">
            <w:pPr>
              <w:spacing w:line="360" w:lineRule="auto"/>
              <w:ind w:firstLine="420" w:firstLineChars="200"/>
              <w:rPr>
                <w:rFonts w:hint="eastAsia" w:eastAsia="宋体"/>
                <w:lang w:eastAsia="zh-CN"/>
              </w:rPr>
            </w:pPr>
            <w:r>
              <w:rPr>
                <w:rFonts w:hint="eastAsia" w:eastAsia="宋体"/>
                <w:lang w:eastAsia="zh-CN"/>
              </w:rPr>
              <w:drawing>
                <wp:inline distT="0" distB="0" distL="114300" distR="114300">
                  <wp:extent cx="2162175" cy="542925"/>
                  <wp:effectExtent l="0" t="0" r="9525" b="9525"/>
                  <wp:docPr id="1" name="图片 1" descr="39bf2f5e2d288c2d286056f1ed30d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9bf2f5e2d288c2d286056f1ed30d547"/>
                          <pic:cNvPicPr>
                            <a:picLocks noChangeAspect="1"/>
                          </pic:cNvPicPr>
                        </pic:nvPicPr>
                        <pic:blipFill>
                          <a:blip r:embed="rId6"/>
                          <a:stretch>
                            <a:fillRect/>
                          </a:stretch>
                        </pic:blipFill>
                        <pic:spPr>
                          <a:xfrm>
                            <a:off x="0" y="0"/>
                            <a:ext cx="2162175" cy="542925"/>
                          </a:xfrm>
                          <a:prstGeom prst="rect">
                            <a:avLst/>
                          </a:prstGeom>
                          <a:noFill/>
                          <a:ln>
                            <a:noFill/>
                          </a:ln>
                        </pic:spPr>
                      </pic:pic>
                    </a:graphicData>
                  </a:graphic>
                </wp:inline>
              </w:drawing>
            </w:r>
          </w:p>
          <w:p w14:paraId="15C07A86">
            <w:pPr>
              <w:spacing w:line="360" w:lineRule="auto"/>
              <w:ind w:firstLine="420" w:firstLineChars="200"/>
              <w:rPr>
                <w:rFonts w:hint="eastAsia" w:eastAsia="宋体"/>
                <w:lang w:val="en-US" w:eastAsia="zh-CN"/>
              </w:rPr>
            </w:pPr>
            <w:r>
              <w:rPr>
                <w:rFonts w:hint="eastAsia"/>
              </w:rPr>
              <w:t>有效报价范围</w:t>
            </w:r>
            <w:r>
              <w:rPr>
                <w:rFonts w:hint="eastAsia"/>
                <w:lang w:eastAsia="zh-CN"/>
              </w:rPr>
              <w:t>：</w:t>
            </w:r>
            <w:r>
              <w:rPr>
                <w:rFonts w:hint="eastAsia"/>
              </w:rPr>
              <w:t>为报价低于或等于最高报价总价限价上限，通过资格评审、符合性评审的</w:t>
            </w:r>
            <w:r>
              <w:rPr>
                <w:rFonts w:hint="eastAsia"/>
                <w:lang w:eastAsia="zh-CN"/>
              </w:rPr>
              <w:t>响应机构报价。</w:t>
            </w:r>
          </w:p>
          <w:p w14:paraId="24FA0EE1">
            <w:pPr>
              <w:spacing w:line="360" w:lineRule="auto"/>
              <w:ind w:firstLine="420" w:firstLineChars="200"/>
              <w:rPr>
                <w:rFonts w:hint="eastAsia"/>
              </w:rPr>
            </w:pPr>
            <w:r>
              <w:rPr>
                <w:rFonts w:hint="eastAsia"/>
              </w:rPr>
              <w:t>评审基准价：所有有效报价的</w:t>
            </w:r>
            <w:r>
              <w:rPr>
                <w:rFonts w:hint="eastAsia"/>
                <w:lang w:eastAsia="zh-CN"/>
              </w:rPr>
              <w:t>响应机构</w:t>
            </w:r>
            <w:r>
              <w:rPr>
                <w:rFonts w:hint="eastAsia"/>
              </w:rPr>
              <w:t>的评审价去掉一个最高报价和一个最低报价的算术平均值为基准价 （若通过初步审查的</w:t>
            </w:r>
            <w:r>
              <w:rPr>
                <w:rFonts w:hint="eastAsia"/>
                <w:lang w:eastAsia="zh-CN"/>
              </w:rPr>
              <w:t>响应机构</w:t>
            </w:r>
            <w:r>
              <w:rPr>
                <w:rFonts w:hint="eastAsia"/>
              </w:rPr>
              <w:t>少于5家 （含5家）则不去掉最高和最低报价）。用公式表示如下：</w:t>
            </w:r>
          </w:p>
          <w:p w14:paraId="52D2470C">
            <w:pPr>
              <w:spacing w:line="360" w:lineRule="auto"/>
              <w:ind w:firstLine="420" w:firstLineChars="200"/>
              <w:rPr>
                <w:rFonts w:hint="eastAsia"/>
              </w:rPr>
            </w:pPr>
            <w:r>
              <w:rPr>
                <w:rFonts w:hint="eastAsia"/>
              </w:rPr>
              <w:t>式中：F1=</w:t>
            </w:r>
            <w:r>
              <w:rPr>
                <w:rFonts w:hint="eastAsia"/>
                <w:lang w:eastAsia="zh-CN"/>
              </w:rPr>
              <w:t>响应机构</w:t>
            </w:r>
            <w:r>
              <w:rPr>
                <w:rFonts w:hint="eastAsia"/>
              </w:rPr>
              <w:t>报价得分； F =报价得分所占的百分比权重，F＝</w:t>
            </w:r>
            <w:r>
              <w:rPr>
                <w:rFonts w:hint="eastAsia"/>
                <w:lang w:val="en-US" w:eastAsia="zh-CN"/>
              </w:rPr>
              <w:t>15</w:t>
            </w:r>
            <w:r>
              <w:rPr>
                <w:rFonts w:hint="eastAsia"/>
              </w:rPr>
              <w:t>；</w:t>
            </w:r>
          </w:p>
          <w:p w14:paraId="48F8A25A">
            <w:pPr>
              <w:spacing w:line="360" w:lineRule="auto"/>
              <w:ind w:firstLine="420" w:firstLineChars="200"/>
              <w:rPr>
                <w:rFonts w:hint="eastAsia"/>
              </w:rPr>
            </w:pPr>
            <w:r>
              <w:rPr>
                <w:rFonts w:hint="eastAsia"/>
              </w:rPr>
              <w:t>D1=</w:t>
            </w:r>
            <w:r>
              <w:rPr>
                <w:rFonts w:hint="eastAsia"/>
                <w:lang w:eastAsia="zh-CN"/>
              </w:rPr>
              <w:t>响应机构</w:t>
            </w:r>
            <w:r>
              <w:rPr>
                <w:rFonts w:hint="eastAsia"/>
              </w:rPr>
              <w:t>的报价；D =评审基准价；报价得分最低为 0 分。</w:t>
            </w:r>
          </w:p>
          <w:p w14:paraId="60314C69">
            <w:pPr>
              <w:spacing w:line="360" w:lineRule="auto"/>
              <w:ind w:firstLine="420" w:firstLineChars="200"/>
              <w:rPr>
                <w:rFonts w:hint="eastAsia"/>
              </w:rPr>
            </w:pPr>
            <w:r>
              <w:rPr>
                <w:rFonts w:hint="eastAsia"/>
              </w:rPr>
              <w:t>（ 一般情况下，报价得分计算分值以保留两位小数为准，但当只保留两位小数无法区分报价得分值的高低时，可顺延小数位数取值，直至可区分高低为止）</w:t>
            </w:r>
          </w:p>
        </w:tc>
        <w:tc>
          <w:tcPr>
            <w:tcW w:w="892" w:type="dxa"/>
            <w:tcBorders>
              <w:left w:val="single" w:color="000000" w:sz="4" w:space="0"/>
              <w:right w:val="single" w:color="000000" w:sz="4" w:space="0"/>
            </w:tcBorders>
            <w:noWrap w:val="0"/>
            <w:vAlign w:val="center"/>
          </w:tcPr>
          <w:p w14:paraId="3AEFB974">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15</w:t>
            </w:r>
            <w:r>
              <w:rPr>
                <w:rFonts w:hint="eastAsia" w:ascii="宋体" w:hAnsi="宋体" w:cs="宋体"/>
                <w:b/>
                <w:bCs/>
                <w:color w:val="auto"/>
                <w:szCs w:val="21"/>
                <w:highlight w:val="none"/>
              </w:rPr>
              <w:t>分</w:t>
            </w:r>
          </w:p>
        </w:tc>
      </w:tr>
      <w:tr w14:paraId="7EF2E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3179FE86">
            <w:pPr>
              <w:spacing w:line="360" w:lineRule="auto"/>
              <w:jc w:val="center"/>
              <w:rPr>
                <w:rFonts w:hint="eastAsia" w:ascii="宋体" w:hAnsi="宋体" w:cs="宋体"/>
                <w:b/>
                <w:bCs/>
                <w:color w:val="auto"/>
                <w:szCs w:val="21"/>
                <w:highlight w:val="none"/>
              </w:rPr>
            </w:pPr>
            <w:r>
              <w:rPr>
                <w:rFonts w:hint="eastAsia" w:ascii="宋体" w:hAnsi="宋体" w:cs="宋体"/>
                <w:b/>
                <w:bCs/>
                <w:color w:val="000000"/>
                <w:szCs w:val="21"/>
                <w:highlight w:val="none"/>
              </w:rPr>
              <w:t>2</w:t>
            </w:r>
          </w:p>
        </w:tc>
        <w:tc>
          <w:tcPr>
            <w:tcW w:w="1865" w:type="dxa"/>
            <w:tcBorders>
              <w:left w:val="single" w:color="000000" w:sz="4" w:space="0"/>
              <w:right w:val="single" w:color="000000" w:sz="4" w:space="0"/>
            </w:tcBorders>
            <w:noWrap w:val="0"/>
            <w:vAlign w:val="center"/>
          </w:tcPr>
          <w:p w14:paraId="6D1D6E5D">
            <w:pPr>
              <w:spacing w:line="360" w:lineRule="auto"/>
              <w:jc w:val="center"/>
              <w:rPr>
                <w:rFonts w:hint="eastAsia" w:ascii="宋体" w:hAnsi="宋体" w:cs="宋体"/>
                <w:b/>
                <w:bCs/>
                <w:color w:val="auto"/>
                <w:szCs w:val="21"/>
                <w:highlight w:val="none"/>
              </w:rPr>
            </w:pPr>
            <w:r>
              <w:rPr>
                <w:rFonts w:hint="eastAsia" w:ascii="宋体" w:hAnsi="宋体" w:cs="宋体"/>
                <w:b/>
                <w:bCs/>
                <w:color w:val="000000"/>
                <w:szCs w:val="21"/>
                <w:highlight w:val="none"/>
              </w:rPr>
              <w:t>商务分</w:t>
            </w:r>
          </w:p>
        </w:tc>
        <w:tc>
          <w:tcPr>
            <w:tcW w:w="6928" w:type="dxa"/>
            <w:tcBorders>
              <w:left w:val="single" w:color="000000" w:sz="4" w:space="0"/>
              <w:right w:val="single" w:color="000000" w:sz="4" w:space="0"/>
            </w:tcBorders>
            <w:noWrap w:val="0"/>
            <w:vAlign w:val="center"/>
          </w:tcPr>
          <w:p w14:paraId="2E341387">
            <w:pPr>
              <w:spacing w:line="360" w:lineRule="auto"/>
              <w:jc w:val="center"/>
              <w:rPr>
                <w:rFonts w:hint="eastAsia"/>
              </w:rPr>
            </w:pPr>
            <w:r>
              <w:rPr>
                <w:rFonts w:hint="eastAsia" w:ascii="宋体" w:hAnsi="宋体" w:cs="宋体"/>
                <w:b/>
                <w:bCs/>
                <w:color w:val="000000"/>
                <w:szCs w:val="21"/>
                <w:highlight w:val="none"/>
              </w:rPr>
              <w:t>评审因素</w:t>
            </w:r>
          </w:p>
        </w:tc>
        <w:tc>
          <w:tcPr>
            <w:tcW w:w="892" w:type="dxa"/>
            <w:tcBorders>
              <w:left w:val="single" w:color="000000" w:sz="4" w:space="0"/>
              <w:right w:val="single" w:color="000000" w:sz="4" w:space="0"/>
            </w:tcBorders>
            <w:noWrap w:val="0"/>
            <w:vAlign w:val="center"/>
          </w:tcPr>
          <w:p w14:paraId="41AD4BBE">
            <w:pPr>
              <w:spacing w:line="360" w:lineRule="auto"/>
              <w:jc w:val="center"/>
              <w:rPr>
                <w:rFonts w:hint="eastAsia" w:ascii="宋体" w:hAnsi="宋体" w:cs="宋体"/>
                <w:b/>
                <w:bCs/>
                <w:color w:val="auto"/>
                <w:szCs w:val="21"/>
                <w:highlight w:val="none"/>
                <w:lang w:val="en-US" w:eastAsia="zh-CN"/>
              </w:rPr>
            </w:pPr>
            <w:r>
              <w:rPr>
                <w:rFonts w:hint="eastAsia" w:ascii="宋体" w:hAnsi="宋体" w:cs="宋体"/>
                <w:b/>
                <w:bCs/>
                <w:color w:val="000000"/>
                <w:szCs w:val="21"/>
                <w:highlight w:val="none"/>
                <w:lang w:val="en-US" w:eastAsia="zh-CN"/>
              </w:rPr>
              <w:t>20</w:t>
            </w:r>
            <w:r>
              <w:rPr>
                <w:rFonts w:hint="eastAsia" w:ascii="宋体" w:hAnsi="宋体" w:cs="宋体"/>
                <w:b/>
                <w:bCs/>
                <w:color w:val="000000"/>
                <w:szCs w:val="21"/>
                <w:highlight w:val="none"/>
              </w:rPr>
              <w:t>分</w:t>
            </w:r>
          </w:p>
        </w:tc>
      </w:tr>
      <w:tr w14:paraId="5749A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42DF41F7">
            <w:pPr>
              <w:spacing w:line="36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2.1</w:t>
            </w:r>
          </w:p>
        </w:tc>
        <w:tc>
          <w:tcPr>
            <w:tcW w:w="1865" w:type="dxa"/>
            <w:tcBorders>
              <w:left w:val="single" w:color="000000" w:sz="4" w:space="0"/>
              <w:right w:val="single" w:color="000000" w:sz="4" w:space="0"/>
            </w:tcBorders>
            <w:noWrap w:val="0"/>
            <w:vAlign w:val="center"/>
          </w:tcPr>
          <w:p w14:paraId="7F9A1A8E">
            <w:pPr>
              <w:spacing w:line="360" w:lineRule="auto"/>
              <w:jc w:val="center"/>
              <w:rPr>
                <w:rFonts w:hint="eastAsia" w:ascii="宋体" w:hAnsi="宋体" w:cs="宋体"/>
                <w:b/>
                <w:bCs/>
                <w:color w:val="auto"/>
                <w:szCs w:val="21"/>
                <w:highlight w:val="none"/>
              </w:rPr>
            </w:pPr>
            <w:r>
              <w:rPr>
                <w:rFonts w:hint="eastAsia" w:ascii="宋体" w:hAnsi="宋体" w:cs="宋体"/>
                <w:color w:val="000000"/>
                <w:szCs w:val="21"/>
                <w:highlight w:val="none"/>
                <w:lang w:val="en-US" w:eastAsia="zh-CN"/>
              </w:rPr>
              <w:t>业绩分</w:t>
            </w:r>
          </w:p>
        </w:tc>
        <w:tc>
          <w:tcPr>
            <w:tcW w:w="6928" w:type="dxa"/>
            <w:tcBorders>
              <w:left w:val="single" w:color="000000" w:sz="4" w:space="0"/>
              <w:right w:val="single" w:color="000000" w:sz="4" w:space="0"/>
            </w:tcBorders>
            <w:noWrap w:val="0"/>
            <w:vAlign w:val="center"/>
          </w:tcPr>
          <w:p w14:paraId="69EC9F72">
            <w:pPr>
              <w:keepNext w:val="0"/>
              <w:keepLines w:val="0"/>
              <w:widowControl/>
              <w:suppressLineNumbers w:val="0"/>
              <w:spacing w:line="360" w:lineRule="auto"/>
              <w:ind w:firstLine="420" w:firstLineChars="200"/>
              <w:jc w:val="left"/>
              <w:rPr>
                <w:rFonts w:hint="eastAsia" w:ascii="Times New Roman" w:hAnsi="Times New Roman" w:eastAsia="宋体" w:cs="Times New Roman"/>
                <w:kern w:val="2"/>
                <w:sz w:val="21"/>
                <w:szCs w:val="24"/>
                <w:lang w:val="en-US" w:eastAsia="zh-CN" w:bidi="ar"/>
              </w:rPr>
            </w:pPr>
            <w:r>
              <w:rPr>
                <w:rFonts w:hint="eastAsia" w:ascii="Times New Roman" w:hAnsi="Times New Roman" w:eastAsia="宋体" w:cs="Times New Roman"/>
                <w:kern w:val="2"/>
                <w:sz w:val="21"/>
                <w:szCs w:val="24"/>
                <w:lang w:val="en-US" w:eastAsia="zh-CN" w:bidi="ar"/>
              </w:rPr>
              <w:t xml:space="preserve"> </w:t>
            </w:r>
            <w:r>
              <w:rPr>
                <w:rFonts w:hint="eastAsia" w:ascii="宋体" w:hAnsi="宋体" w:eastAsia="宋体" w:cs="宋体"/>
                <w:bCs/>
                <w:color w:val="000000"/>
                <w:sz w:val="21"/>
                <w:szCs w:val="21"/>
                <w:highlight w:val="none"/>
                <w:u w:val="single"/>
                <w:lang w:val="en-US" w:eastAsia="zh-CN"/>
              </w:rPr>
              <w:t xml:space="preserve">2023 </w:t>
            </w:r>
            <w:r>
              <w:rPr>
                <w:rFonts w:hint="eastAsia" w:ascii="宋体" w:hAnsi="宋体" w:eastAsia="宋体" w:cs="宋体"/>
                <w:bCs/>
                <w:color w:val="000000"/>
                <w:sz w:val="21"/>
                <w:szCs w:val="21"/>
                <w:highlight w:val="none"/>
                <w:lang w:val="en-US" w:eastAsia="zh-CN"/>
              </w:rPr>
              <w:t>年</w:t>
            </w:r>
            <w:r>
              <w:rPr>
                <w:rFonts w:hint="eastAsia" w:ascii="宋体" w:hAnsi="宋体" w:cs="宋体"/>
                <w:bCs/>
                <w:color w:val="000000"/>
                <w:sz w:val="21"/>
                <w:szCs w:val="21"/>
                <w:highlight w:val="none"/>
                <w:u w:val="single"/>
                <w:lang w:val="en-US" w:eastAsia="zh-CN"/>
              </w:rPr>
              <w:t>1</w:t>
            </w:r>
            <w:r>
              <w:rPr>
                <w:rFonts w:hint="eastAsia" w:ascii="宋体" w:hAnsi="宋体" w:eastAsia="宋体" w:cs="宋体"/>
                <w:bCs/>
                <w:color w:val="000000"/>
                <w:sz w:val="21"/>
                <w:szCs w:val="21"/>
                <w:highlight w:val="none"/>
                <w:u w:val="none"/>
                <w:lang w:val="en-US" w:eastAsia="zh-CN"/>
              </w:rPr>
              <w:t>月</w:t>
            </w:r>
            <w:r>
              <w:rPr>
                <w:rFonts w:hint="eastAsia" w:ascii="宋体" w:hAnsi="宋体" w:eastAsia="宋体" w:cs="宋体"/>
                <w:bCs/>
                <w:color w:val="000000"/>
                <w:sz w:val="21"/>
                <w:szCs w:val="21"/>
                <w:highlight w:val="none"/>
                <w:u w:val="single"/>
                <w:lang w:val="en-US" w:eastAsia="zh-CN"/>
              </w:rPr>
              <w:t xml:space="preserve"> 1 </w:t>
            </w:r>
            <w:r>
              <w:rPr>
                <w:rFonts w:hint="eastAsia" w:ascii="宋体" w:hAnsi="宋体" w:eastAsia="宋体" w:cs="宋体"/>
                <w:bCs/>
                <w:color w:val="000000"/>
                <w:sz w:val="21"/>
                <w:szCs w:val="21"/>
                <w:highlight w:val="none"/>
                <w:u w:val="none"/>
                <w:lang w:val="en-US" w:eastAsia="zh-CN"/>
              </w:rPr>
              <w:t>日</w:t>
            </w:r>
            <w:r>
              <w:rPr>
                <w:rFonts w:hint="eastAsia" w:ascii="宋体" w:hAnsi="宋体" w:eastAsia="宋体" w:cs="宋体"/>
                <w:bCs/>
                <w:color w:val="000000"/>
                <w:sz w:val="21"/>
                <w:szCs w:val="21"/>
                <w:highlight w:val="none"/>
                <w:lang w:val="en-US" w:eastAsia="zh-CN"/>
              </w:rPr>
              <w:t>以来</w:t>
            </w:r>
            <w:r>
              <w:rPr>
                <w:rFonts w:hint="eastAsia" w:ascii="Times New Roman" w:hAnsi="Times New Roman" w:eastAsia="宋体" w:cs="Times New Roman"/>
                <w:kern w:val="2"/>
                <w:sz w:val="21"/>
                <w:szCs w:val="24"/>
                <w:lang w:val="en-US" w:eastAsia="zh-CN" w:bidi="ar"/>
              </w:rPr>
              <w:t xml:space="preserve">，参选代理机构承担的机电设备采购、设备改造类招标代理业绩： </w:t>
            </w:r>
          </w:p>
          <w:p w14:paraId="0FDDDDF8">
            <w:pPr>
              <w:keepNext w:val="0"/>
              <w:keepLines w:val="0"/>
              <w:widowControl/>
              <w:numPr>
                <w:ilvl w:val="0"/>
                <w:numId w:val="0"/>
              </w:numPr>
              <w:suppressLineNumbers w:val="0"/>
              <w:spacing w:line="360" w:lineRule="auto"/>
              <w:ind w:firstLine="420" w:firstLineChars="200"/>
              <w:jc w:val="left"/>
              <w:rPr>
                <w:rFonts w:hint="eastAsia" w:cs="Times New Roman"/>
                <w:kern w:val="2"/>
                <w:sz w:val="21"/>
                <w:szCs w:val="24"/>
                <w:lang w:val="en-US" w:eastAsia="zh-CN" w:bidi="ar"/>
              </w:rPr>
            </w:pPr>
            <w:r>
              <w:rPr>
                <w:rFonts w:hint="eastAsia" w:ascii="宋体" w:hAnsi="宋体" w:eastAsia="宋体" w:cs="宋体"/>
                <w:bCs/>
                <w:color w:val="000000"/>
                <w:sz w:val="21"/>
                <w:szCs w:val="21"/>
                <w:highlight w:val="none"/>
                <w:lang w:val="en-US" w:eastAsia="zh-CN"/>
              </w:rPr>
              <w:t>单个合同</w:t>
            </w:r>
            <w:r>
              <w:rPr>
                <w:rFonts w:hint="eastAsia" w:ascii="Times New Roman" w:hAnsi="Times New Roman" w:eastAsia="宋体" w:cs="Times New Roman"/>
                <w:kern w:val="2"/>
                <w:sz w:val="21"/>
                <w:szCs w:val="24"/>
                <w:lang w:val="en-US" w:eastAsia="zh-CN" w:bidi="ar"/>
              </w:rPr>
              <w:t xml:space="preserve">≥100万元的机电设备采购或设备改造项目，每提供1个得 </w:t>
            </w:r>
            <w:r>
              <w:rPr>
                <w:rFonts w:hint="eastAsia" w:cs="Times New Roman"/>
                <w:kern w:val="2"/>
                <w:sz w:val="21"/>
                <w:szCs w:val="24"/>
                <w:lang w:val="en-US" w:eastAsia="zh-CN" w:bidi="ar"/>
              </w:rPr>
              <w:t>4</w:t>
            </w:r>
            <w:r>
              <w:rPr>
                <w:rFonts w:hint="eastAsia" w:ascii="Times New Roman" w:hAnsi="Times New Roman" w:eastAsia="宋体" w:cs="Times New Roman"/>
                <w:kern w:val="2"/>
                <w:sz w:val="21"/>
                <w:szCs w:val="24"/>
                <w:lang w:val="en-US" w:eastAsia="zh-CN" w:bidi="ar"/>
              </w:rPr>
              <w:t>分，最高</w:t>
            </w:r>
            <w:r>
              <w:rPr>
                <w:rFonts w:hint="eastAsia" w:cs="Times New Roman"/>
                <w:kern w:val="2"/>
                <w:sz w:val="21"/>
                <w:szCs w:val="24"/>
                <w:lang w:val="en-US" w:eastAsia="zh-CN" w:bidi="ar"/>
              </w:rPr>
              <w:t>20</w:t>
            </w:r>
            <w:r>
              <w:rPr>
                <w:rFonts w:hint="eastAsia" w:ascii="Times New Roman" w:hAnsi="Times New Roman" w:eastAsia="宋体" w:cs="Times New Roman"/>
                <w:kern w:val="2"/>
                <w:sz w:val="21"/>
                <w:szCs w:val="24"/>
                <w:lang w:val="en-US" w:eastAsia="zh-CN" w:bidi="ar"/>
              </w:rPr>
              <w:t>分；</w:t>
            </w:r>
            <w:r>
              <w:rPr>
                <w:rFonts w:hint="eastAsia" w:ascii="宋体" w:hAnsi="宋体" w:eastAsia="宋体" w:cs="宋体"/>
                <w:bCs/>
                <w:color w:val="000000"/>
                <w:sz w:val="21"/>
                <w:szCs w:val="21"/>
                <w:highlight w:val="none"/>
                <w:lang w:val="en-US" w:eastAsia="zh-CN"/>
              </w:rPr>
              <w:t>单个合同</w:t>
            </w:r>
            <w:r>
              <w:rPr>
                <w:rFonts w:hint="eastAsia" w:ascii="Times New Roman" w:hAnsi="Times New Roman" w:eastAsia="宋体" w:cs="Times New Roman"/>
                <w:kern w:val="2"/>
                <w:sz w:val="21"/>
                <w:szCs w:val="24"/>
                <w:lang w:val="en-US" w:eastAsia="zh-CN" w:bidi="ar"/>
              </w:rPr>
              <w:t>＜100万元的机电设备采购或设备改造项目</w:t>
            </w:r>
            <w:r>
              <w:rPr>
                <w:rFonts w:hint="eastAsia" w:cs="Times New Roman"/>
                <w:kern w:val="2"/>
                <w:sz w:val="21"/>
                <w:szCs w:val="24"/>
                <w:lang w:val="en-US" w:eastAsia="zh-CN" w:bidi="ar"/>
              </w:rPr>
              <w:t xml:space="preserve">不得分。  </w:t>
            </w:r>
          </w:p>
          <w:p w14:paraId="1D36BEFC">
            <w:pPr>
              <w:keepNext w:val="0"/>
              <w:keepLines w:val="0"/>
              <w:widowControl/>
              <w:numPr>
                <w:ilvl w:val="-1"/>
                <w:numId w:val="0"/>
              </w:numPr>
              <w:suppressLineNumbers w:val="0"/>
              <w:spacing w:line="360" w:lineRule="auto"/>
              <w:ind w:firstLine="420" w:firstLineChars="200"/>
              <w:jc w:val="left"/>
              <w:rPr>
                <w:rFonts w:hint="eastAsia"/>
              </w:rPr>
            </w:pPr>
            <w:r>
              <w:rPr>
                <w:rFonts w:hint="eastAsia" w:ascii="Times New Roman" w:hAnsi="Times New Roman" w:eastAsia="宋体" w:cs="Times New Roman"/>
                <w:kern w:val="2"/>
                <w:sz w:val="21"/>
                <w:szCs w:val="24"/>
                <w:lang w:val="en-US" w:eastAsia="zh-CN" w:bidi="ar"/>
              </w:rPr>
              <w:t>注：①须同时提供招标代理委托合同 + 中标通知书，缺少任一材料不予计分；金额以中标通知书中标金额为准；②业绩范围：机电设备供货、设备更新改造（含设备供货 + 安装）；纯工程土建、监理、运维服务项目不计分；同一项目多标段只计1次，不得重复计分；③业绩因代理机构原因产生有效投诉、行政处罚、招标作废的，该业绩不予计分；业绩造假本项 0 分并取消参选资格。业绩时间以中标通知书发出时间为准，时间区间：自__</w:t>
            </w:r>
            <w:r>
              <w:rPr>
                <w:rFonts w:hint="eastAsia" w:cs="Times New Roman"/>
                <w:kern w:val="2"/>
                <w:sz w:val="21"/>
                <w:szCs w:val="24"/>
                <w:lang w:val="en-US" w:eastAsia="zh-CN" w:bidi="ar"/>
              </w:rPr>
              <w:t>2023</w:t>
            </w:r>
            <w:r>
              <w:rPr>
                <w:rFonts w:hint="eastAsia" w:ascii="Times New Roman" w:hAnsi="Times New Roman" w:eastAsia="宋体" w:cs="Times New Roman"/>
                <w:kern w:val="2"/>
                <w:sz w:val="21"/>
                <w:szCs w:val="24"/>
                <w:lang w:val="en-US" w:eastAsia="zh-CN" w:bidi="ar"/>
              </w:rPr>
              <w:t>__年_</w:t>
            </w:r>
            <w:r>
              <w:rPr>
                <w:rFonts w:hint="eastAsia" w:cs="Times New Roman"/>
                <w:kern w:val="2"/>
                <w:sz w:val="21"/>
                <w:szCs w:val="24"/>
                <w:lang w:val="en-US" w:eastAsia="zh-CN" w:bidi="ar"/>
              </w:rPr>
              <w:t>1</w:t>
            </w:r>
            <w:r>
              <w:rPr>
                <w:rFonts w:hint="eastAsia" w:ascii="Times New Roman" w:hAnsi="Times New Roman" w:eastAsia="宋体" w:cs="Times New Roman"/>
                <w:kern w:val="2"/>
                <w:sz w:val="21"/>
                <w:szCs w:val="24"/>
                <w:lang w:val="en-US" w:eastAsia="zh-CN" w:bidi="ar"/>
              </w:rPr>
              <w:t>_月_</w:t>
            </w:r>
            <w:r>
              <w:rPr>
                <w:rFonts w:hint="eastAsia" w:cs="Times New Roman"/>
                <w:kern w:val="2"/>
                <w:sz w:val="21"/>
                <w:szCs w:val="24"/>
                <w:lang w:val="en-US" w:eastAsia="zh-CN" w:bidi="ar"/>
              </w:rPr>
              <w:t>1</w:t>
            </w:r>
            <w:r>
              <w:rPr>
                <w:rFonts w:hint="eastAsia" w:ascii="Times New Roman" w:hAnsi="Times New Roman" w:eastAsia="宋体" w:cs="Times New Roman"/>
                <w:kern w:val="2"/>
                <w:sz w:val="21"/>
                <w:szCs w:val="24"/>
                <w:lang w:val="en-US" w:eastAsia="zh-CN" w:bidi="ar"/>
              </w:rPr>
              <w:t>_日至本遴选公告发布之日止。</w:t>
            </w:r>
          </w:p>
        </w:tc>
        <w:tc>
          <w:tcPr>
            <w:tcW w:w="892" w:type="dxa"/>
            <w:tcBorders>
              <w:left w:val="single" w:color="000000" w:sz="4" w:space="0"/>
              <w:right w:val="single" w:color="000000" w:sz="4" w:space="0"/>
            </w:tcBorders>
            <w:noWrap w:val="0"/>
            <w:vAlign w:val="center"/>
          </w:tcPr>
          <w:p w14:paraId="61E6BCB5">
            <w:pPr>
              <w:spacing w:line="360" w:lineRule="auto"/>
              <w:jc w:val="center"/>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20</w:t>
            </w:r>
          </w:p>
        </w:tc>
      </w:tr>
      <w:tr w14:paraId="0FE25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14EECC3C">
            <w:pPr>
              <w:spacing w:line="36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000000"/>
                <w:szCs w:val="21"/>
                <w:highlight w:val="none"/>
              </w:rPr>
              <w:t>3</w:t>
            </w:r>
          </w:p>
        </w:tc>
        <w:tc>
          <w:tcPr>
            <w:tcW w:w="1865" w:type="dxa"/>
            <w:tcBorders>
              <w:left w:val="single" w:color="000000" w:sz="4" w:space="0"/>
              <w:right w:val="single" w:color="000000" w:sz="4" w:space="0"/>
            </w:tcBorders>
            <w:noWrap w:val="0"/>
            <w:vAlign w:val="center"/>
          </w:tcPr>
          <w:p w14:paraId="1962AC38">
            <w:pPr>
              <w:spacing w:line="360" w:lineRule="auto"/>
              <w:jc w:val="center"/>
              <w:rPr>
                <w:rFonts w:hint="eastAsia" w:ascii="宋体" w:hAnsi="宋体" w:cs="宋体"/>
                <w:b/>
                <w:bCs/>
                <w:color w:val="auto"/>
                <w:szCs w:val="21"/>
                <w:highlight w:val="none"/>
              </w:rPr>
            </w:pPr>
            <w:r>
              <w:rPr>
                <w:rFonts w:hint="eastAsia" w:ascii="宋体" w:hAnsi="宋体" w:cs="宋体"/>
                <w:b/>
                <w:bCs/>
                <w:color w:val="000000"/>
                <w:szCs w:val="21"/>
                <w:highlight w:val="none"/>
              </w:rPr>
              <w:t>技术分</w:t>
            </w:r>
          </w:p>
        </w:tc>
        <w:tc>
          <w:tcPr>
            <w:tcW w:w="6928" w:type="dxa"/>
            <w:tcBorders>
              <w:left w:val="single" w:color="000000" w:sz="4" w:space="0"/>
              <w:right w:val="single" w:color="000000" w:sz="4" w:space="0"/>
            </w:tcBorders>
            <w:noWrap w:val="0"/>
            <w:vAlign w:val="center"/>
          </w:tcPr>
          <w:p w14:paraId="2B4E198E">
            <w:pPr>
              <w:spacing w:line="360" w:lineRule="auto"/>
              <w:jc w:val="center"/>
              <w:rPr>
                <w:rFonts w:hint="eastAsia"/>
              </w:rPr>
            </w:pPr>
            <w:r>
              <w:rPr>
                <w:rFonts w:hint="eastAsia" w:ascii="宋体" w:hAnsi="宋体" w:cs="宋体"/>
                <w:b/>
                <w:bCs/>
                <w:color w:val="000000"/>
                <w:szCs w:val="21"/>
                <w:highlight w:val="none"/>
              </w:rPr>
              <w:t>评审因素</w:t>
            </w:r>
          </w:p>
        </w:tc>
        <w:tc>
          <w:tcPr>
            <w:tcW w:w="892" w:type="dxa"/>
            <w:tcBorders>
              <w:left w:val="single" w:color="000000" w:sz="4" w:space="0"/>
              <w:right w:val="single" w:color="000000" w:sz="4" w:space="0"/>
            </w:tcBorders>
            <w:noWrap w:val="0"/>
            <w:vAlign w:val="center"/>
          </w:tcPr>
          <w:p w14:paraId="3B8A77DE">
            <w:pPr>
              <w:spacing w:line="360" w:lineRule="auto"/>
              <w:jc w:val="center"/>
              <w:rPr>
                <w:rFonts w:hint="default" w:ascii="宋体" w:hAnsi="宋体" w:cs="宋体"/>
                <w:b/>
                <w:bCs/>
                <w:color w:val="auto"/>
                <w:szCs w:val="21"/>
                <w:highlight w:val="none"/>
                <w:lang w:val="en-US" w:eastAsia="zh-CN"/>
              </w:rPr>
            </w:pPr>
            <w:r>
              <w:rPr>
                <w:rFonts w:hint="eastAsia" w:ascii="宋体" w:hAnsi="宋体" w:cs="宋体"/>
                <w:b/>
                <w:bCs/>
                <w:color w:val="000000"/>
                <w:szCs w:val="21"/>
                <w:highlight w:val="none"/>
                <w:lang w:val="en-US" w:eastAsia="zh-CN"/>
              </w:rPr>
              <w:t>65</w:t>
            </w:r>
            <w:r>
              <w:rPr>
                <w:rFonts w:hint="eastAsia" w:ascii="宋体" w:hAnsi="宋体" w:cs="宋体"/>
                <w:b/>
                <w:bCs/>
                <w:color w:val="000000"/>
                <w:szCs w:val="21"/>
                <w:highlight w:val="none"/>
              </w:rPr>
              <w:t>分</w:t>
            </w:r>
          </w:p>
        </w:tc>
      </w:tr>
      <w:tr w14:paraId="7DC65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vMerge w:val="restart"/>
            <w:tcBorders>
              <w:left w:val="single" w:color="000000" w:sz="4" w:space="0"/>
              <w:right w:val="single" w:color="000000" w:sz="4" w:space="0"/>
            </w:tcBorders>
            <w:noWrap w:val="0"/>
            <w:vAlign w:val="center"/>
          </w:tcPr>
          <w:p w14:paraId="768BD121">
            <w:pPr>
              <w:spacing w:line="360" w:lineRule="auto"/>
              <w:jc w:val="center"/>
              <w:rPr>
                <w:rFonts w:hint="default" w:ascii="宋体" w:hAnsi="宋体" w:cs="宋体"/>
                <w:b/>
                <w:bCs/>
                <w:color w:val="auto"/>
                <w:szCs w:val="21"/>
                <w:highlight w:val="none"/>
                <w:lang w:val="en-US"/>
              </w:rPr>
            </w:pPr>
            <w:r>
              <w:rPr>
                <w:rFonts w:hint="eastAsia" w:ascii="宋体" w:hAnsi="宋体" w:cs="宋体"/>
                <w:b/>
                <w:bCs/>
                <w:color w:val="auto"/>
                <w:szCs w:val="21"/>
                <w:highlight w:val="none"/>
                <w:lang w:val="en-US" w:eastAsia="zh-CN"/>
              </w:rPr>
              <w:t>3.1</w:t>
            </w:r>
          </w:p>
        </w:tc>
        <w:tc>
          <w:tcPr>
            <w:tcW w:w="1865" w:type="dxa"/>
            <w:vMerge w:val="restart"/>
            <w:tcBorders>
              <w:left w:val="single" w:color="000000" w:sz="4" w:space="0"/>
              <w:right w:val="single" w:color="000000" w:sz="4" w:space="0"/>
            </w:tcBorders>
            <w:noWrap w:val="0"/>
            <w:vAlign w:val="center"/>
          </w:tcPr>
          <w:p w14:paraId="271F2B86">
            <w:pPr>
              <w:keepNext w:val="0"/>
              <w:keepLines w:val="0"/>
              <w:widowControl/>
              <w:suppressLineNumbers w:val="0"/>
              <w:jc w:val="left"/>
            </w:pPr>
            <w:r>
              <w:rPr>
                <w:rFonts w:ascii="宋体" w:hAnsi="宋体" w:eastAsia="宋体" w:cs="宋体"/>
                <w:kern w:val="0"/>
                <w:sz w:val="24"/>
                <w:szCs w:val="24"/>
                <w:lang w:val="en-US" w:eastAsia="zh-CN" w:bidi="ar"/>
              </w:rPr>
              <w:t>拟投入本项目团队人员配置</w:t>
            </w:r>
          </w:p>
          <w:p w14:paraId="52BB113B">
            <w:pPr>
              <w:spacing w:line="360" w:lineRule="auto"/>
              <w:jc w:val="center"/>
              <w:rPr>
                <w:rFonts w:hint="eastAsia" w:ascii="宋体" w:hAnsi="宋体" w:cs="宋体"/>
                <w:b/>
                <w:bCs/>
                <w:color w:val="auto"/>
                <w:szCs w:val="21"/>
                <w:highlight w:val="none"/>
              </w:rPr>
            </w:pPr>
          </w:p>
        </w:tc>
        <w:tc>
          <w:tcPr>
            <w:tcW w:w="6928" w:type="dxa"/>
            <w:tcBorders>
              <w:left w:val="single" w:color="000000" w:sz="4" w:space="0"/>
              <w:right w:val="single" w:color="000000" w:sz="4" w:space="0"/>
            </w:tcBorders>
            <w:noWrap w:val="0"/>
            <w:vAlign w:val="center"/>
          </w:tcPr>
          <w:p w14:paraId="369F49E4">
            <w:pPr>
              <w:keepNext w:val="0"/>
              <w:keepLines w:val="0"/>
              <w:widowControl/>
              <w:numPr>
                <w:ilvl w:val="-1"/>
                <w:numId w:val="0"/>
              </w:numPr>
              <w:suppressLineNumbers w:val="0"/>
              <w:spacing w:line="360" w:lineRule="auto"/>
              <w:ind w:firstLine="0" w:firstLineChars="0"/>
              <w:jc w:val="left"/>
              <w:rPr>
                <w:rFonts w:hint="eastAsia" w:cs="Times New Roman"/>
                <w:kern w:val="2"/>
                <w:sz w:val="21"/>
                <w:szCs w:val="24"/>
                <w:lang w:val="en-US" w:eastAsia="zh-CN" w:bidi="ar"/>
              </w:rPr>
            </w:pPr>
            <w:r>
              <w:rPr>
                <w:rFonts w:hint="eastAsia" w:ascii="Times New Roman" w:hAnsi="Times New Roman" w:eastAsia="宋体" w:cs="Times New Roman"/>
                <w:kern w:val="2"/>
                <w:sz w:val="21"/>
                <w:szCs w:val="24"/>
                <w:lang w:val="en-US" w:eastAsia="zh-CN" w:bidi="ar"/>
              </w:rPr>
              <w:t>项目负责人</w:t>
            </w:r>
            <w:r>
              <w:rPr>
                <w:rFonts w:hint="eastAsia" w:cs="Times New Roman"/>
                <w:kern w:val="2"/>
                <w:sz w:val="21"/>
                <w:szCs w:val="24"/>
                <w:lang w:val="en-US" w:eastAsia="zh-CN" w:bidi="ar"/>
              </w:rPr>
              <w:t>配置</w:t>
            </w:r>
          </w:p>
          <w:p w14:paraId="77147ACC">
            <w:pPr>
              <w:keepNext w:val="0"/>
              <w:keepLines w:val="0"/>
              <w:widowControl/>
              <w:numPr>
                <w:ilvl w:val="-1"/>
                <w:numId w:val="0"/>
              </w:numPr>
              <w:suppressLineNumbers w:val="0"/>
              <w:spacing w:line="360" w:lineRule="auto"/>
              <w:ind w:firstLine="0" w:firstLineChars="0"/>
              <w:jc w:val="left"/>
              <w:rPr>
                <w:rFonts w:hint="eastAsia"/>
              </w:rPr>
            </w:pPr>
            <w:r>
              <w:rPr>
                <w:rFonts w:hint="eastAsia" w:ascii="Times New Roman" w:hAnsi="Times New Roman" w:eastAsia="宋体" w:cs="Times New Roman"/>
                <w:kern w:val="2"/>
                <w:sz w:val="21"/>
                <w:szCs w:val="24"/>
                <w:lang w:val="en-US" w:eastAsia="zh-CN" w:bidi="ar"/>
              </w:rPr>
              <w:t>项目负责人为本单位在职人员（提供社保缴纳证明），熟悉招投标法律法规，具备机电 / 设备改造招标代理经验：</w:t>
            </w:r>
            <w:r>
              <w:rPr>
                <w:rFonts w:hint="eastAsia" w:cs="Times New Roman"/>
                <w:kern w:val="2"/>
                <w:sz w:val="21"/>
                <w:szCs w:val="24"/>
                <w:u w:val="single"/>
                <w:lang w:val="en-US" w:eastAsia="zh-CN" w:bidi="ar"/>
              </w:rPr>
              <w:t>2023</w:t>
            </w:r>
            <w:r>
              <w:rPr>
                <w:rFonts w:hint="eastAsia" w:ascii="Times New Roman" w:hAnsi="Times New Roman" w:eastAsia="宋体" w:cs="Times New Roman"/>
                <w:kern w:val="2"/>
                <w:sz w:val="21"/>
                <w:szCs w:val="24"/>
                <w:u w:val="single"/>
                <w:lang w:val="en-US" w:eastAsia="zh-CN" w:bidi="ar"/>
              </w:rPr>
              <w:t>_</w:t>
            </w:r>
            <w:r>
              <w:rPr>
                <w:rFonts w:hint="eastAsia" w:ascii="Times New Roman" w:hAnsi="Times New Roman" w:eastAsia="宋体" w:cs="Times New Roman"/>
                <w:kern w:val="2"/>
                <w:sz w:val="21"/>
                <w:szCs w:val="24"/>
                <w:lang w:val="en-US" w:eastAsia="zh-CN" w:bidi="ar"/>
              </w:rPr>
              <w:t>年</w:t>
            </w:r>
            <w:r>
              <w:rPr>
                <w:rFonts w:hint="eastAsia" w:cs="Times New Roman"/>
                <w:kern w:val="2"/>
                <w:sz w:val="21"/>
                <w:szCs w:val="24"/>
                <w:u w:val="single"/>
                <w:lang w:val="en-US" w:eastAsia="zh-CN" w:bidi="ar"/>
              </w:rPr>
              <w:t>1</w:t>
            </w:r>
            <w:r>
              <w:rPr>
                <w:rFonts w:hint="eastAsia" w:ascii="Times New Roman" w:hAnsi="Times New Roman" w:eastAsia="宋体" w:cs="Times New Roman"/>
                <w:kern w:val="2"/>
                <w:sz w:val="21"/>
                <w:szCs w:val="24"/>
                <w:lang w:val="en-US" w:eastAsia="zh-CN" w:bidi="ar"/>
              </w:rPr>
              <w:t>月</w:t>
            </w:r>
            <w:r>
              <w:rPr>
                <w:rFonts w:hint="eastAsia" w:cs="Times New Roman"/>
                <w:kern w:val="2"/>
                <w:sz w:val="21"/>
                <w:szCs w:val="24"/>
                <w:u w:val="single"/>
                <w:lang w:val="en-US" w:eastAsia="zh-CN" w:bidi="ar"/>
              </w:rPr>
              <w:t>1</w:t>
            </w:r>
            <w:r>
              <w:rPr>
                <w:rFonts w:hint="eastAsia" w:ascii="Times New Roman" w:hAnsi="Times New Roman" w:eastAsia="宋体" w:cs="Times New Roman"/>
                <w:kern w:val="2"/>
                <w:sz w:val="21"/>
                <w:szCs w:val="24"/>
                <w:lang w:val="en-US" w:eastAsia="zh-CN" w:bidi="ar"/>
              </w:rPr>
              <w:t>日</w:t>
            </w:r>
            <w:r>
              <w:rPr>
                <w:rFonts w:hint="eastAsia" w:cs="Times New Roman"/>
                <w:kern w:val="2"/>
                <w:sz w:val="21"/>
                <w:szCs w:val="24"/>
                <w:lang w:val="en-US" w:eastAsia="zh-CN" w:bidi="ar"/>
              </w:rPr>
              <w:t>以来</w:t>
            </w:r>
            <w:r>
              <w:rPr>
                <w:rFonts w:hint="eastAsia" w:ascii="Times New Roman" w:hAnsi="Times New Roman" w:eastAsia="宋体" w:cs="Times New Roman"/>
                <w:kern w:val="2"/>
                <w:sz w:val="21"/>
                <w:szCs w:val="24"/>
                <w:lang w:val="en-US" w:eastAsia="zh-CN" w:bidi="ar"/>
              </w:rPr>
              <w:t>主持过单项</w:t>
            </w:r>
            <w:r>
              <w:rPr>
                <w:rFonts w:hint="eastAsia" w:cs="Times New Roman"/>
                <w:kern w:val="2"/>
                <w:sz w:val="21"/>
                <w:szCs w:val="24"/>
                <w:lang w:val="en-US" w:eastAsia="zh-CN" w:bidi="ar"/>
              </w:rPr>
              <w:t>合同</w:t>
            </w:r>
            <w:r>
              <w:rPr>
                <w:rFonts w:hint="eastAsia" w:ascii="Times New Roman" w:hAnsi="Times New Roman" w:eastAsia="宋体" w:cs="Times New Roman"/>
                <w:kern w:val="2"/>
                <w:sz w:val="21"/>
                <w:szCs w:val="24"/>
                <w:lang w:val="en-US" w:eastAsia="zh-CN" w:bidi="ar"/>
              </w:rPr>
              <w:t>≥100万元机电设备采购或改造招标代理项目</w:t>
            </w:r>
            <w:r>
              <w:rPr>
                <w:rFonts w:hint="eastAsia" w:cs="Times New Roman"/>
                <w:kern w:val="2"/>
                <w:sz w:val="21"/>
                <w:szCs w:val="24"/>
                <w:lang w:val="en-US" w:eastAsia="zh-CN" w:bidi="ar"/>
              </w:rPr>
              <w:t>，</w:t>
            </w:r>
            <w:r>
              <w:rPr>
                <w:rFonts w:hint="eastAsia" w:ascii="Times New Roman" w:hAnsi="Times New Roman" w:eastAsia="宋体" w:cs="Times New Roman"/>
                <w:kern w:val="2"/>
                <w:sz w:val="21"/>
                <w:szCs w:val="24"/>
                <w:lang w:val="en-US" w:eastAsia="zh-CN" w:bidi="ar"/>
              </w:rPr>
              <w:t>得</w:t>
            </w:r>
            <w:r>
              <w:rPr>
                <w:rFonts w:hint="eastAsia" w:cs="Times New Roman"/>
                <w:kern w:val="2"/>
                <w:sz w:val="21"/>
                <w:szCs w:val="24"/>
                <w:lang w:val="en-US" w:eastAsia="zh-CN" w:bidi="ar"/>
              </w:rPr>
              <w:t>10</w:t>
            </w:r>
            <w:r>
              <w:rPr>
                <w:rFonts w:hint="eastAsia" w:ascii="Times New Roman" w:hAnsi="Times New Roman" w:eastAsia="宋体" w:cs="Times New Roman"/>
                <w:kern w:val="2"/>
                <w:sz w:val="21"/>
                <w:szCs w:val="24"/>
                <w:lang w:val="en-US" w:eastAsia="zh-CN" w:bidi="ar"/>
              </w:rPr>
              <w:t>分；熟悉电子化招投标平台操作，有公共资源交易平台</w:t>
            </w:r>
            <w:r>
              <w:rPr>
                <w:rFonts w:hint="eastAsia" w:cs="Times New Roman"/>
                <w:kern w:val="2"/>
                <w:sz w:val="21"/>
                <w:szCs w:val="24"/>
                <w:lang w:val="en-US" w:eastAsia="zh-CN" w:bidi="ar"/>
              </w:rPr>
              <w:t>或广西阳光采购服务平台</w:t>
            </w:r>
            <w:r>
              <w:rPr>
                <w:rFonts w:hint="eastAsia" w:ascii="Times New Roman" w:hAnsi="Times New Roman" w:eastAsia="宋体" w:cs="Times New Roman"/>
                <w:kern w:val="2"/>
                <w:sz w:val="21"/>
                <w:szCs w:val="24"/>
                <w:lang w:val="en-US" w:eastAsia="zh-CN" w:bidi="ar"/>
              </w:rPr>
              <w:t xml:space="preserve">项目实操经验得 5 分。 </w:t>
            </w:r>
          </w:p>
        </w:tc>
        <w:tc>
          <w:tcPr>
            <w:tcW w:w="892" w:type="dxa"/>
            <w:tcBorders>
              <w:left w:val="single" w:color="000000" w:sz="4" w:space="0"/>
              <w:right w:val="single" w:color="000000" w:sz="4" w:space="0"/>
            </w:tcBorders>
            <w:noWrap w:val="0"/>
            <w:vAlign w:val="center"/>
          </w:tcPr>
          <w:p w14:paraId="691781B9">
            <w:pPr>
              <w:spacing w:line="360" w:lineRule="auto"/>
              <w:jc w:val="center"/>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15</w:t>
            </w:r>
          </w:p>
        </w:tc>
      </w:tr>
      <w:tr w14:paraId="38D1D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vMerge w:val="continue"/>
            <w:tcBorders>
              <w:left w:val="single" w:color="000000" w:sz="4" w:space="0"/>
              <w:right w:val="single" w:color="000000" w:sz="4" w:space="0"/>
            </w:tcBorders>
            <w:noWrap w:val="0"/>
            <w:vAlign w:val="center"/>
          </w:tcPr>
          <w:p w14:paraId="1B10CC36">
            <w:pPr>
              <w:spacing w:line="360" w:lineRule="auto"/>
              <w:jc w:val="center"/>
              <w:rPr>
                <w:rFonts w:hint="eastAsia" w:ascii="宋体" w:hAnsi="宋体" w:cs="宋体"/>
                <w:b/>
                <w:bCs/>
                <w:color w:val="auto"/>
                <w:szCs w:val="21"/>
                <w:highlight w:val="none"/>
              </w:rPr>
            </w:pPr>
          </w:p>
        </w:tc>
        <w:tc>
          <w:tcPr>
            <w:tcW w:w="1865" w:type="dxa"/>
            <w:vMerge w:val="continue"/>
            <w:tcBorders>
              <w:left w:val="single" w:color="000000" w:sz="4" w:space="0"/>
              <w:right w:val="single" w:color="000000" w:sz="4" w:space="0"/>
            </w:tcBorders>
            <w:noWrap w:val="0"/>
            <w:vAlign w:val="center"/>
          </w:tcPr>
          <w:p w14:paraId="7DE556FD">
            <w:pPr>
              <w:spacing w:line="360" w:lineRule="auto"/>
              <w:jc w:val="center"/>
              <w:rPr>
                <w:rFonts w:hint="eastAsia" w:ascii="宋体" w:hAnsi="宋体" w:cs="宋体"/>
                <w:b/>
                <w:bCs/>
                <w:color w:val="auto"/>
                <w:szCs w:val="21"/>
                <w:highlight w:val="none"/>
              </w:rPr>
            </w:pPr>
          </w:p>
        </w:tc>
        <w:tc>
          <w:tcPr>
            <w:tcW w:w="6928" w:type="dxa"/>
            <w:tcBorders>
              <w:left w:val="single" w:color="000000" w:sz="4" w:space="0"/>
              <w:right w:val="single" w:color="000000" w:sz="4" w:space="0"/>
            </w:tcBorders>
            <w:noWrap w:val="0"/>
            <w:vAlign w:val="center"/>
          </w:tcPr>
          <w:p w14:paraId="0D904652">
            <w:pPr>
              <w:keepNext w:val="0"/>
              <w:keepLines w:val="0"/>
              <w:widowControl/>
              <w:numPr>
                <w:ilvl w:val="-1"/>
                <w:numId w:val="0"/>
              </w:numPr>
              <w:suppressLineNumbers w:val="0"/>
              <w:spacing w:line="360" w:lineRule="auto"/>
              <w:ind w:firstLine="420" w:firstLineChars="200"/>
              <w:jc w:val="left"/>
              <w:rPr>
                <w:rFonts w:hint="eastAsia" w:ascii="Times New Roman" w:hAnsi="Times New Roman" w:eastAsia="宋体" w:cs="Times New Roman"/>
                <w:kern w:val="2"/>
                <w:sz w:val="21"/>
                <w:szCs w:val="24"/>
                <w:lang w:val="en-US" w:eastAsia="zh-CN" w:bidi="ar"/>
              </w:rPr>
            </w:pPr>
            <w:r>
              <w:rPr>
                <w:rFonts w:hint="eastAsia" w:ascii="Times New Roman" w:hAnsi="Times New Roman" w:eastAsia="宋体" w:cs="Times New Roman"/>
                <w:kern w:val="2"/>
                <w:sz w:val="21"/>
                <w:szCs w:val="24"/>
                <w:lang w:val="en-US" w:eastAsia="zh-CN" w:bidi="ar"/>
              </w:rPr>
              <w:t>项目配套团队</w:t>
            </w:r>
            <w:r>
              <w:rPr>
                <w:rFonts w:hint="eastAsia" w:cs="Times New Roman"/>
                <w:kern w:val="2"/>
                <w:sz w:val="21"/>
                <w:szCs w:val="24"/>
                <w:lang w:val="en-US" w:eastAsia="zh-CN" w:bidi="ar"/>
              </w:rPr>
              <w:t>：</w:t>
            </w:r>
            <w:r>
              <w:rPr>
                <w:rFonts w:hint="eastAsia" w:ascii="Times New Roman" w:hAnsi="Times New Roman" w:eastAsia="宋体" w:cs="Times New Roman"/>
                <w:kern w:val="2"/>
                <w:sz w:val="21"/>
                <w:szCs w:val="24"/>
                <w:lang w:val="en-US" w:eastAsia="zh-CN" w:bidi="ar"/>
              </w:rPr>
              <w:t>配备招标文件编制、开评标组织、档案管理专职人员；团队人员为本单位在职人员，分工清晰，岗位职责明确得 10 分；人员配置不全酌情扣分，无社保证明人员不计入团队。</w:t>
            </w:r>
          </w:p>
          <w:p w14:paraId="35AD5116">
            <w:pPr>
              <w:widowControl/>
              <w:numPr>
                <w:ilvl w:val="0"/>
                <w:numId w:val="0"/>
              </w:numPr>
              <w:spacing w:line="360" w:lineRule="auto"/>
              <w:ind w:firstLine="420" w:firstLineChars="200"/>
              <w:jc w:val="left"/>
              <w:rPr>
                <w:rFonts w:hint="eastAsia"/>
              </w:rPr>
            </w:pPr>
            <w:r>
              <w:rPr>
                <w:rFonts w:hint="eastAsia" w:ascii="Times New Roman" w:hAnsi="Times New Roman" w:eastAsia="宋体" w:cs="Times New Roman"/>
                <w:kern w:val="2"/>
                <w:sz w:val="21"/>
                <w:szCs w:val="24"/>
                <w:lang w:val="en-US" w:eastAsia="zh-CN" w:bidi="ar"/>
              </w:rPr>
              <w:t xml:space="preserve"> 备注：未经</w:t>
            </w:r>
            <w:r>
              <w:rPr>
                <w:rFonts w:hint="eastAsia" w:cs="Times New Roman"/>
                <w:kern w:val="2"/>
                <w:sz w:val="21"/>
                <w:szCs w:val="24"/>
                <w:lang w:val="en-US" w:eastAsia="zh-CN" w:bidi="ar"/>
              </w:rPr>
              <w:t>采购</w:t>
            </w:r>
            <w:r>
              <w:rPr>
                <w:rFonts w:hint="eastAsia" w:ascii="Times New Roman" w:hAnsi="Times New Roman" w:eastAsia="宋体" w:cs="Times New Roman"/>
                <w:kern w:val="2"/>
                <w:sz w:val="21"/>
                <w:szCs w:val="24"/>
                <w:lang w:val="en-US" w:eastAsia="zh-CN" w:bidi="ar"/>
              </w:rPr>
              <w:t>人书面同意，不得擅自更换项目负责人；擅自更换按违约处理。</w:t>
            </w:r>
          </w:p>
        </w:tc>
        <w:tc>
          <w:tcPr>
            <w:tcW w:w="892" w:type="dxa"/>
            <w:tcBorders>
              <w:left w:val="single" w:color="000000" w:sz="4" w:space="0"/>
              <w:right w:val="single" w:color="000000" w:sz="4" w:space="0"/>
            </w:tcBorders>
            <w:noWrap w:val="0"/>
            <w:vAlign w:val="center"/>
          </w:tcPr>
          <w:p w14:paraId="6D3A2609">
            <w:pPr>
              <w:spacing w:line="360" w:lineRule="auto"/>
              <w:jc w:val="center"/>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10</w:t>
            </w:r>
          </w:p>
        </w:tc>
      </w:tr>
      <w:tr w14:paraId="502FA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3FB67F76">
            <w:pPr>
              <w:spacing w:line="36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3.2</w:t>
            </w:r>
          </w:p>
        </w:tc>
        <w:tc>
          <w:tcPr>
            <w:tcW w:w="1865" w:type="dxa"/>
            <w:tcBorders>
              <w:left w:val="single" w:color="000000" w:sz="4" w:space="0"/>
              <w:right w:val="single" w:color="000000" w:sz="4" w:space="0"/>
            </w:tcBorders>
            <w:noWrap w:val="0"/>
            <w:vAlign w:val="center"/>
          </w:tcPr>
          <w:p w14:paraId="34C76922">
            <w:pPr>
              <w:keepNext w:val="0"/>
              <w:keepLines w:val="0"/>
              <w:widowControl/>
              <w:suppressLineNumbers w:val="0"/>
              <w:jc w:val="left"/>
            </w:pPr>
            <w:r>
              <w:rPr>
                <w:rFonts w:ascii="宋体" w:hAnsi="宋体" w:eastAsia="宋体" w:cs="宋体"/>
                <w:kern w:val="0"/>
                <w:sz w:val="24"/>
                <w:szCs w:val="24"/>
                <w:lang w:val="en-US" w:eastAsia="zh-CN" w:bidi="ar"/>
              </w:rPr>
              <w:t>项目专项服务方案</w:t>
            </w:r>
          </w:p>
          <w:p w14:paraId="0DFF3253">
            <w:pPr>
              <w:spacing w:line="360" w:lineRule="auto"/>
              <w:jc w:val="center"/>
              <w:rPr>
                <w:rFonts w:hint="eastAsia" w:ascii="宋体" w:hAnsi="宋体" w:cs="宋体"/>
                <w:b/>
                <w:bCs/>
                <w:color w:val="auto"/>
                <w:szCs w:val="21"/>
                <w:highlight w:val="none"/>
              </w:rPr>
            </w:pPr>
          </w:p>
        </w:tc>
        <w:tc>
          <w:tcPr>
            <w:tcW w:w="6928" w:type="dxa"/>
            <w:tcBorders>
              <w:left w:val="single" w:color="000000" w:sz="4" w:space="0"/>
              <w:right w:val="single" w:color="000000" w:sz="4" w:space="0"/>
            </w:tcBorders>
            <w:noWrap w:val="0"/>
            <w:vAlign w:val="center"/>
          </w:tcPr>
          <w:p w14:paraId="2E6922CC">
            <w:pPr>
              <w:numPr>
                <w:ilvl w:val="0"/>
                <w:numId w:val="0"/>
              </w:numPr>
              <w:spacing w:line="360" w:lineRule="auto"/>
              <w:ind w:firstLine="420" w:firstLineChars="200"/>
              <w:rPr>
                <w:rFonts w:hint="eastAsia"/>
                <w:lang w:val="en-US" w:eastAsia="zh-CN"/>
              </w:rPr>
            </w:pPr>
            <w:r>
              <w:rPr>
                <w:rFonts w:hint="eastAsia"/>
                <w:lang w:val="en-US" w:eastAsia="zh-CN"/>
              </w:rPr>
              <w:t xml:space="preserve">响应机构须针对本次扶梯改造招标项目编制专项服务方案，仅提供通用模板酌情扣分。 </w:t>
            </w:r>
          </w:p>
          <w:p w14:paraId="00C419EE">
            <w:pPr>
              <w:numPr>
                <w:ilvl w:val="-1"/>
                <w:numId w:val="0"/>
              </w:numPr>
              <w:spacing w:line="360" w:lineRule="auto"/>
              <w:ind w:firstLine="420" w:firstLineChars="200"/>
              <w:rPr>
                <w:rFonts w:hint="eastAsia"/>
                <w:lang w:val="en-US" w:eastAsia="zh-CN"/>
              </w:rPr>
            </w:pPr>
            <w:r>
              <w:rPr>
                <w:rFonts w:hint="eastAsia"/>
                <w:lang w:val="en-US" w:eastAsia="zh-CN"/>
              </w:rPr>
              <w:t xml:space="preserve">招标全流程实施计划：需求对接、招标文件编制、内部审核、公告发布、开评标组织、结果公示、资料归档等工作安排，时间节点清晰（7 分）；        </w:t>
            </w:r>
          </w:p>
          <w:p w14:paraId="126C4EBF">
            <w:pPr>
              <w:numPr>
                <w:ilvl w:val="-1"/>
                <w:numId w:val="0"/>
              </w:numPr>
              <w:spacing w:line="360" w:lineRule="auto"/>
              <w:ind w:firstLine="420" w:firstLineChars="200"/>
              <w:rPr>
                <w:rFonts w:hint="eastAsia"/>
                <w:lang w:val="en-US" w:eastAsia="zh-CN"/>
              </w:rPr>
            </w:pPr>
            <w:r>
              <w:rPr>
                <w:rFonts w:hint="eastAsia"/>
                <w:lang w:val="en-US" w:eastAsia="zh-CN"/>
              </w:rPr>
              <w:t xml:space="preserve">合规风险防控方案：招标文件合规审查、规避倾向性条款、资格条件设置、开标评标风险管控措施（7 分）； </w:t>
            </w:r>
          </w:p>
          <w:p w14:paraId="4B74104D">
            <w:pPr>
              <w:numPr>
                <w:ilvl w:val="-1"/>
                <w:numId w:val="0"/>
              </w:numPr>
              <w:spacing w:line="360" w:lineRule="auto"/>
              <w:ind w:firstLine="420" w:firstLineChars="200"/>
              <w:rPr>
                <w:rFonts w:hint="eastAsia"/>
                <w:lang w:val="en-US" w:eastAsia="zh-CN"/>
              </w:rPr>
            </w:pPr>
            <w:r>
              <w:rPr>
                <w:rFonts w:hint="eastAsia"/>
                <w:lang w:val="en-US" w:eastAsia="zh-CN"/>
              </w:rPr>
              <w:t xml:space="preserve">（2）异议、投诉处置预案，应对质疑、投诉的响应机制（5 分）； </w:t>
            </w:r>
          </w:p>
          <w:p w14:paraId="5E6C8276">
            <w:pPr>
              <w:numPr>
                <w:ilvl w:val="0"/>
                <w:numId w:val="0"/>
              </w:numPr>
              <w:spacing w:line="360" w:lineRule="auto"/>
              <w:ind w:firstLine="420" w:firstLineChars="200"/>
              <w:rPr>
                <w:rFonts w:hint="eastAsia"/>
              </w:rPr>
            </w:pPr>
            <w:r>
              <w:rPr>
                <w:rFonts w:hint="eastAsia"/>
                <w:lang w:val="en-US" w:eastAsia="zh-CN"/>
              </w:rPr>
              <w:t>（3）档案管理、保密及廉洁承诺方案，满足国资审计、巡察档案留存要求（6 分）。</w:t>
            </w:r>
          </w:p>
        </w:tc>
        <w:tc>
          <w:tcPr>
            <w:tcW w:w="892" w:type="dxa"/>
            <w:tcBorders>
              <w:left w:val="single" w:color="000000" w:sz="4" w:space="0"/>
              <w:right w:val="single" w:color="000000" w:sz="4" w:space="0"/>
            </w:tcBorders>
            <w:noWrap w:val="0"/>
            <w:vAlign w:val="center"/>
          </w:tcPr>
          <w:p w14:paraId="610E7118">
            <w:pPr>
              <w:spacing w:line="360" w:lineRule="auto"/>
              <w:jc w:val="center"/>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25</w:t>
            </w:r>
          </w:p>
        </w:tc>
      </w:tr>
      <w:tr w14:paraId="361EF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2" w:type="dxa"/>
            <w:tcBorders>
              <w:left w:val="single" w:color="000000" w:sz="4" w:space="0"/>
              <w:right w:val="single" w:color="000000" w:sz="4" w:space="0"/>
            </w:tcBorders>
            <w:noWrap w:val="0"/>
            <w:vAlign w:val="center"/>
          </w:tcPr>
          <w:p w14:paraId="0E9DD6FA">
            <w:pPr>
              <w:spacing w:line="36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3.3</w:t>
            </w:r>
          </w:p>
        </w:tc>
        <w:tc>
          <w:tcPr>
            <w:tcW w:w="1865" w:type="dxa"/>
            <w:tcBorders>
              <w:left w:val="single" w:color="000000" w:sz="4" w:space="0"/>
              <w:right w:val="single" w:color="000000" w:sz="4" w:space="0"/>
            </w:tcBorders>
            <w:noWrap w:val="0"/>
            <w:vAlign w:val="center"/>
          </w:tcPr>
          <w:p w14:paraId="67AE544E">
            <w:pPr>
              <w:keepNext w:val="0"/>
              <w:keepLines w:val="0"/>
              <w:widowControl/>
              <w:suppressLineNumbers w:val="0"/>
              <w:jc w:val="left"/>
            </w:pPr>
            <w:r>
              <w:rPr>
                <w:rFonts w:ascii="宋体" w:hAnsi="宋体" w:eastAsia="宋体" w:cs="宋体"/>
                <w:kern w:val="0"/>
                <w:sz w:val="24"/>
                <w:szCs w:val="24"/>
                <w:lang w:val="en-US" w:eastAsia="zh-CN" w:bidi="ar"/>
              </w:rPr>
              <w:t>本地化服务及履约承诺</w:t>
            </w:r>
          </w:p>
          <w:p w14:paraId="10C2A818">
            <w:pPr>
              <w:spacing w:line="360" w:lineRule="auto"/>
              <w:jc w:val="center"/>
              <w:rPr>
                <w:rFonts w:hint="eastAsia" w:ascii="宋体" w:hAnsi="宋体" w:cs="宋体"/>
                <w:b/>
                <w:bCs/>
                <w:color w:val="auto"/>
                <w:szCs w:val="21"/>
                <w:highlight w:val="none"/>
              </w:rPr>
            </w:pPr>
          </w:p>
        </w:tc>
        <w:tc>
          <w:tcPr>
            <w:tcW w:w="6928" w:type="dxa"/>
            <w:tcBorders>
              <w:left w:val="single" w:color="000000" w:sz="4" w:space="0"/>
              <w:right w:val="single" w:color="000000" w:sz="4" w:space="0"/>
            </w:tcBorders>
            <w:noWrap w:val="0"/>
            <w:vAlign w:val="center"/>
          </w:tcPr>
          <w:p w14:paraId="25A0B61E">
            <w:pPr>
              <w:keepNext w:val="0"/>
              <w:keepLines w:val="0"/>
              <w:widowControl/>
              <w:numPr>
                <w:ilvl w:val="-1"/>
                <w:numId w:val="0"/>
              </w:numPr>
              <w:suppressLineNumbers w:val="0"/>
              <w:spacing w:line="360" w:lineRule="auto"/>
              <w:ind w:firstLine="420" w:firstLineChars="200"/>
              <w:jc w:val="left"/>
              <w:rPr>
                <w:rFonts w:hint="eastAsia" w:ascii="Times New Roman" w:hAnsi="Times New Roman" w:eastAsia="宋体" w:cs="Times New Roman"/>
                <w:kern w:val="2"/>
                <w:sz w:val="21"/>
                <w:szCs w:val="24"/>
                <w:lang w:val="en-US" w:eastAsia="zh-CN" w:bidi="ar"/>
              </w:rPr>
            </w:pPr>
            <w:r>
              <w:rPr>
                <w:rFonts w:hint="eastAsia" w:cs="Times New Roman"/>
                <w:kern w:val="2"/>
                <w:sz w:val="21"/>
                <w:szCs w:val="24"/>
                <w:lang w:val="en-US" w:eastAsia="zh-CN" w:bidi="ar"/>
              </w:rPr>
              <w:t>（1）</w:t>
            </w:r>
            <w:r>
              <w:rPr>
                <w:rFonts w:hint="eastAsia" w:ascii="Times New Roman" w:hAnsi="Times New Roman" w:eastAsia="宋体" w:cs="Times New Roman"/>
                <w:kern w:val="2"/>
                <w:sz w:val="21"/>
                <w:szCs w:val="24"/>
                <w:lang w:val="en-US" w:eastAsia="zh-CN" w:bidi="ar"/>
              </w:rPr>
              <w:t>在本地设有常驻服务团队，现场响应时效有保障得 8 分；</w:t>
            </w:r>
          </w:p>
          <w:p w14:paraId="148BFB3E">
            <w:pPr>
              <w:keepNext w:val="0"/>
              <w:keepLines w:val="0"/>
              <w:widowControl/>
              <w:numPr>
                <w:ilvl w:val="-1"/>
                <w:numId w:val="0"/>
              </w:numPr>
              <w:suppressLineNumbers w:val="0"/>
              <w:spacing w:line="360" w:lineRule="auto"/>
              <w:ind w:firstLine="420" w:firstLineChars="200"/>
              <w:jc w:val="left"/>
              <w:rPr>
                <w:rFonts w:hint="eastAsia"/>
              </w:rPr>
            </w:pPr>
            <w:r>
              <w:rPr>
                <w:rFonts w:hint="eastAsia" w:ascii="Times New Roman" w:hAnsi="Times New Roman" w:eastAsia="宋体" w:cs="Times New Roman"/>
                <w:kern w:val="2"/>
                <w:sz w:val="21"/>
                <w:szCs w:val="24"/>
                <w:lang w:val="en-US" w:eastAsia="zh-CN" w:bidi="ar"/>
              </w:rPr>
              <w:t>（2）承诺因代理机构过错造成招标无效、投诉败诉、国有资产损失，承担相应赔偿责任，承诺不转包代理业务得 7 分。</w:t>
            </w:r>
          </w:p>
        </w:tc>
        <w:tc>
          <w:tcPr>
            <w:tcW w:w="892" w:type="dxa"/>
            <w:tcBorders>
              <w:left w:val="single" w:color="000000" w:sz="4" w:space="0"/>
              <w:right w:val="single" w:color="000000" w:sz="4" w:space="0"/>
            </w:tcBorders>
            <w:noWrap w:val="0"/>
            <w:vAlign w:val="center"/>
          </w:tcPr>
          <w:p w14:paraId="09BFFCD6">
            <w:pPr>
              <w:spacing w:line="360" w:lineRule="auto"/>
              <w:jc w:val="center"/>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15</w:t>
            </w:r>
          </w:p>
        </w:tc>
      </w:tr>
      <w:tr w14:paraId="41FB3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25" w:type="dxa"/>
            <w:gridSpan w:val="3"/>
            <w:tcBorders>
              <w:left w:val="single" w:color="000000" w:sz="4" w:space="0"/>
              <w:right w:val="single" w:color="000000" w:sz="4" w:space="0"/>
            </w:tcBorders>
            <w:noWrap w:val="0"/>
            <w:vAlign w:val="center"/>
          </w:tcPr>
          <w:p w14:paraId="2DC62738">
            <w:pPr>
              <w:spacing w:line="360" w:lineRule="auto"/>
              <w:ind w:firstLine="422" w:firstLineChars="200"/>
              <w:rPr>
                <w:rFonts w:hint="eastAsia"/>
              </w:rPr>
            </w:pPr>
            <w:r>
              <w:rPr>
                <w:rFonts w:hint="eastAsia" w:ascii="宋体" w:hAnsi="宋体" w:cs="宋体"/>
                <w:b/>
                <w:bCs/>
                <w:color w:val="000000"/>
                <w:szCs w:val="21"/>
                <w:highlight w:val="none"/>
              </w:rPr>
              <w:t>总得分＝价格分+商务分+技术分</w:t>
            </w:r>
          </w:p>
        </w:tc>
        <w:tc>
          <w:tcPr>
            <w:tcW w:w="892" w:type="dxa"/>
            <w:tcBorders>
              <w:left w:val="single" w:color="000000" w:sz="4" w:space="0"/>
              <w:right w:val="single" w:color="000000" w:sz="4" w:space="0"/>
            </w:tcBorders>
            <w:noWrap w:val="0"/>
            <w:vAlign w:val="center"/>
          </w:tcPr>
          <w:p w14:paraId="4EDF64FD">
            <w:pPr>
              <w:spacing w:line="360" w:lineRule="auto"/>
              <w:jc w:val="center"/>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100</w:t>
            </w:r>
          </w:p>
        </w:tc>
      </w:tr>
    </w:tbl>
    <w:p w14:paraId="074A92BA">
      <w:pPr>
        <w:spacing w:line="360" w:lineRule="auto"/>
        <w:rPr>
          <w:rFonts w:hint="eastAsia" w:ascii="Times New Roman" w:hAnsi="Times New Roman" w:cs="Times New Roman"/>
          <w:sz w:val="21"/>
          <w:lang w:val="en-US" w:eastAsia="zh-CN"/>
        </w:rPr>
      </w:pPr>
    </w:p>
    <w:sectPr>
      <w:footerReference r:id="rId3" w:type="default"/>
      <w:footerReference r:id="rId4" w:type="even"/>
      <w:pgSz w:w="11906" w:h="16838"/>
      <w:pgMar w:top="1134" w:right="1418" w:bottom="1134" w:left="141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_GB2312">
    <w:altName w:val="楷体"/>
    <w:panose1 w:val="02010609030101010101"/>
    <w:charset w:val="86"/>
    <w:family w:val="modern"/>
    <w:pitch w:val="default"/>
    <w:sig w:usb0="00000000" w:usb1="00000000" w:usb2="0000001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_GBK">
    <w:panose1 w:val="03000509000000000000"/>
    <w:charset w:val="86"/>
    <w:family w:val="auto"/>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B7208">
    <w:pPr>
      <w:pStyle w:val="11"/>
      <w:framePr w:wrap="around" w:vAnchor="text" w:hAnchor="margin" w:xAlign="outside" w:y="1"/>
      <w:rPr>
        <w:rStyle w:val="21"/>
        <w:rFonts w:ascii="仿宋_GB2312" w:eastAsia="仿宋_GB2312"/>
        <w:sz w:val="28"/>
        <w:szCs w:val="28"/>
      </w:rPr>
    </w:pPr>
    <w:r>
      <w:rPr>
        <w:rFonts w:hint="eastAsia" w:ascii="仿宋_GB2312" w:eastAsia="仿宋_GB2312"/>
        <w:sz w:val="28"/>
        <w:szCs w:val="28"/>
      </w:rPr>
      <w:fldChar w:fldCharType="begin"/>
    </w:r>
    <w:r>
      <w:rPr>
        <w:rStyle w:val="21"/>
        <w:rFonts w:hint="eastAsia" w:ascii="仿宋_GB2312" w:eastAsia="仿宋_GB2312"/>
        <w:sz w:val="28"/>
        <w:szCs w:val="28"/>
      </w:rPr>
      <w:instrText xml:space="preserve">PAGE  </w:instrText>
    </w:r>
    <w:r>
      <w:rPr>
        <w:rFonts w:hint="eastAsia" w:ascii="仿宋_GB2312" w:eastAsia="仿宋_GB2312"/>
        <w:sz w:val="28"/>
        <w:szCs w:val="28"/>
      </w:rPr>
      <w:fldChar w:fldCharType="separate"/>
    </w:r>
    <w:r>
      <w:rPr>
        <w:rStyle w:val="21"/>
        <w:rFonts w:ascii="仿宋_GB2312" w:eastAsia="仿宋_GB2312"/>
        <w:sz w:val="28"/>
        <w:szCs w:val="28"/>
      </w:rPr>
      <w:t>- 1 -</w:t>
    </w:r>
    <w:r>
      <w:rPr>
        <w:rFonts w:hint="eastAsia" w:ascii="仿宋_GB2312" w:eastAsia="仿宋_GB2312"/>
        <w:sz w:val="28"/>
        <w:szCs w:val="28"/>
      </w:rPr>
      <w:fldChar w:fldCharType="end"/>
    </w:r>
  </w:p>
  <w:p w14:paraId="74AEADD0">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CA096">
    <w:pPr>
      <w:pStyle w:val="11"/>
      <w:framePr w:wrap="around" w:vAnchor="text" w:hAnchor="margin" w:xAlign="outside" w:y="1"/>
      <w:rPr>
        <w:rStyle w:val="21"/>
      </w:rPr>
    </w:pPr>
    <w:r>
      <w:rPr>
        <w:rStyle w:val="21"/>
      </w:rPr>
      <w:fldChar w:fldCharType="begin"/>
    </w:r>
    <w:r>
      <w:rPr>
        <w:rStyle w:val="21"/>
      </w:rPr>
      <w:instrText xml:space="preserve">PAGE  </w:instrText>
    </w:r>
    <w:r>
      <w:rPr>
        <w:rStyle w:val="21"/>
      </w:rPr>
      <w:fldChar w:fldCharType="end"/>
    </w:r>
  </w:p>
  <w:p w14:paraId="7108DBBC">
    <w:pPr>
      <w:pStyle w:val="1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A6469"/>
    <w:multiLevelType w:val="singleLevel"/>
    <w:tmpl w:val="EFDA646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iZTJlMWY4ZDQ3NzY5MGNjYzEwZDczZDU4MThlNjUifQ=="/>
  </w:docVars>
  <w:rsids>
    <w:rsidRoot w:val="00285854"/>
    <w:rsid w:val="000007A2"/>
    <w:rsid w:val="00002B31"/>
    <w:rsid w:val="000067F0"/>
    <w:rsid w:val="000074B8"/>
    <w:rsid w:val="0001133F"/>
    <w:rsid w:val="00013E93"/>
    <w:rsid w:val="00017F62"/>
    <w:rsid w:val="00030486"/>
    <w:rsid w:val="00031A3C"/>
    <w:rsid w:val="0003536B"/>
    <w:rsid w:val="00037108"/>
    <w:rsid w:val="00042205"/>
    <w:rsid w:val="0004228F"/>
    <w:rsid w:val="00047AF1"/>
    <w:rsid w:val="00056EE3"/>
    <w:rsid w:val="00067DB5"/>
    <w:rsid w:val="00087A6F"/>
    <w:rsid w:val="000B15FE"/>
    <w:rsid w:val="000B4651"/>
    <w:rsid w:val="000B4D44"/>
    <w:rsid w:val="000C0C0E"/>
    <w:rsid w:val="000C1FD4"/>
    <w:rsid w:val="000C25A3"/>
    <w:rsid w:val="000C796C"/>
    <w:rsid w:val="000E0776"/>
    <w:rsid w:val="000E265D"/>
    <w:rsid w:val="000E30AE"/>
    <w:rsid w:val="000E5EED"/>
    <w:rsid w:val="000F54E1"/>
    <w:rsid w:val="001046C7"/>
    <w:rsid w:val="00112DBB"/>
    <w:rsid w:val="00123153"/>
    <w:rsid w:val="00124E50"/>
    <w:rsid w:val="00126BEF"/>
    <w:rsid w:val="001277EF"/>
    <w:rsid w:val="0013337E"/>
    <w:rsid w:val="001400B2"/>
    <w:rsid w:val="001443C7"/>
    <w:rsid w:val="001519D7"/>
    <w:rsid w:val="001530BE"/>
    <w:rsid w:val="00162AFE"/>
    <w:rsid w:val="00170027"/>
    <w:rsid w:val="001768E7"/>
    <w:rsid w:val="00181D0A"/>
    <w:rsid w:val="00191159"/>
    <w:rsid w:val="00195344"/>
    <w:rsid w:val="0019658E"/>
    <w:rsid w:val="001978F0"/>
    <w:rsid w:val="001A0D5B"/>
    <w:rsid w:val="001A1247"/>
    <w:rsid w:val="001A23B6"/>
    <w:rsid w:val="001B15A3"/>
    <w:rsid w:val="001B17EF"/>
    <w:rsid w:val="001C1AA7"/>
    <w:rsid w:val="001C2892"/>
    <w:rsid w:val="001C384F"/>
    <w:rsid w:val="001D34A4"/>
    <w:rsid w:val="001D38F4"/>
    <w:rsid w:val="001E05DA"/>
    <w:rsid w:val="001E591A"/>
    <w:rsid w:val="001F36D0"/>
    <w:rsid w:val="001F599B"/>
    <w:rsid w:val="00202005"/>
    <w:rsid w:val="002046C6"/>
    <w:rsid w:val="002076E1"/>
    <w:rsid w:val="00213823"/>
    <w:rsid w:val="002173CF"/>
    <w:rsid w:val="00223672"/>
    <w:rsid w:val="00226C1F"/>
    <w:rsid w:val="00234B2A"/>
    <w:rsid w:val="00234B47"/>
    <w:rsid w:val="00240F42"/>
    <w:rsid w:val="00243A0C"/>
    <w:rsid w:val="002514BB"/>
    <w:rsid w:val="00256D7A"/>
    <w:rsid w:val="00264751"/>
    <w:rsid w:val="00266AC0"/>
    <w:rsid w:val="00267431"/>
    <w:rsid w:val="002706F9"/>
    <w:rsid w:val="0027678C"/>
    <w:rsid w:val="00280D5E"/>
    <w:rsid w:val="00285854"/>
    <w:rsid w:val="00287310"/>
    <w:rsid w:val="0029127C"/>
    <w:rsid w:val="00292B84"/>
    <w:rsid w:val="002A300C"/>
    <w:rsid w:val="002B18DE"/>
    <w:rsid w:val="002B6062"/>
    <w:rsid w:val="002B6E9B"/>
    <w:rsid w:val="002C1470"/>
    <w:rsid w:val="002D3826"/>
    <w:rsid w:val="002D664C"/>
    <w:rsid w:val="002E3D8D"/>
    <w:rsid w:val="002E4B11"/>
    <w:rsid w:val="002E64D0"/>
    <w:rsid w:val="002F30EF"/>
    <w:rsid w:val="002F62A9"/>
    <w:rsid w:val="002F65EA"/>
    <w:rsid w:val="002F6DA5"/>
    <w:rsid w:val="00307821"/>
    <w:rsid w:val="0031469D"/>
    <w:rsid w:val="00323E25"/>
    <w:rsid w:val="00341C9B"/>
    <w:rsid w:val="00347066"/>
    <w:rsid w:val="003515AB"/>
    <w:rsid w:val="00354886"/>
    <w:rsid w:val="00354D34"/>
    <w:rsid w:val="00365495"/>
    <w:rsid w:val="003706BC"/>
    <w:rsid w:val="00370D7F"/>
    <w:rsid w:val="00376F35"/>
    <w:rsid w:val="00391D94"/>
    <w:rsid w:val="00396319"/>
    <w:rsid w:val="00396B6C"/>
    <w:rsid w:val="003A0015"/>
    <w:rsid w:val="003A208F"/>
    <w:rsid w:val="003A644B"/>
    <w:rsid w:val="003B0D25"/>
    <w:rsid w:val="003B200B"/>
    <w:rsid w:val="003B2AB0"/>
    <w:rsid w:val="003B690A"/>
    <w:rsid w:val="003C40C1"/>
    <w:rsid w:val="003C5262"/>
    <w:rsid w:val="003C6E9E"/>
    <w:rsid w:val="003D1F2D"/>
    <w:rsid w:val="003D358F"/>
    <w:rsid w:val="003D362B"/>
    <w:rsid w:val="003D5CBC"/>
    <w:rsid w:val="003D7F6B"/>
    <w:rsid w:val="003F0320"/>
    <w:rsid w:val="003F14ED"/>
    <w:rsid w:val="003F2DC4"/>
    <w:rsid w:val="003F444E"/>
    <w:rsid w:val="004011B2"/>
    <w:rsid w:val="00404854"/>
    <w:rsid w:val="00426C81"/>
    <w:rsid w:val="0042737A"/>
    <w:rsid w:val="0043527C"/>
    <w:rsid w:val="00437321"/>
    <w:rsid w:val="004463D1"/>
    <w:rsid w:val="0045055F"/>
    <w:rsid w:val="004535E2"/>
    <w:rsid w:val="0045736B"/>
    <w:rsid w:val="00463AAE"/>
    <w:rsid w:val="00471097"/>
    <w:rsid w:val="00483E41"/>
    <w:rsid w:val="00493F4F"/>
    <w:rsid w:val="0049767A"/>
    <w:rsid w:val="004A3A1C"/>
    <w:rsid w:val="004A4DB9"/>
    <w:rsid w:val="004B2DB8"/>
    <w:rsid w:val="004B60DD"/>
    <w:rsid w:val="004B629A"/>
    <w:rsid w:val="004B63B6"/>
    <w:rsid w:val="004D5F83"/>
    <w:rsid w:val="004E27A0"/>
    <w:rsid w:val="00500820"/>
    <w:rsid w:val="00506584"/>
    <w:rsid w:val="00511883"/>
    <w:rsid w:val="00513EE0"/>
    <w:rsid w:val="005142FC"/>
    <w:rsid w:val="00517889"/>
    <w:rsid w:val="00517EF0"/>
    <w:rsid w:val="00520392"/>
    <w:rsid w:val="00523408"/>
    <w:rsid w:val="005239B2"/>
    <w:rsid w:val="00524C37"/>
    <w:rsid w:val="00524C38"/>
    <w:rsid w:val="005279F4"/>
    <w:rsid w:val="00534309"/>
    <w:rsid w:val="00542097"/>
    <w:rsid w:val="00544B9D"/>
    <w:rsid w:val="0055231C"/>
    <w:rsid w:val="005542BF"/>
    <w:rsid w:val="00560484"/>
    <w:rsid w:val="005624A1"/>
    <w:rsid w:val="0056704C"/>
    <w:rsid w:val="0056751E"/>
    <w:rsid w:val="00567CDC"/>
    <w:rsid w:val="005715A0"/>
    <w:rsid w:val="005736FF"/>
    <w:rsid w:val="00580022"/>
    <w:rsid w:val="005822BA"/>
    <w:rsid w:val="00593CA7"/>
    <w:rsid w:val="0059412E"/>
    <w:rsid w:val="005955A9"/>
    <w:rsid w:val="00597E74"/>
    <w:rsid w:val="005A05C0"/>
    <w:rsid w:val="005A2D65"/>
    <w:rsid w:val="005A6D92"/>
    <w:rsid w:val="005B2CF3"/>
    <w:rsid w:val="005C3836"/>
    <w:rsid w:val="005C4158"/>
    <w:rsid w:val="005C5631"/>
    <w:rsid w:val="005C7298"/>
    <w:rsid w:val="005D2CEE"/>
    <w:rsid w:val="005D614B"/>
    <w:rsid w:val="005E47C0"/>
    <w:rsid w:val="005F26E4"/>
    <w:rsid w:val="005F3FAF"/>
    <w:rsid w:val="005F59E0"/>
    <w:rsid w:val="006021F3"/>
    <w:rsid w:val="00613246"/>
    <w:rsid w:val="00614540"/>
    <w:rsid w:val="00617D32"/>
    <w:rsid w:val="00620C48"/>
    <w:rsid w:val="0062329C"/>
    <w:rsid w:val="00624EB7"/>
    <w:rsid w:val="00633FD2"/>
    <w:rsid w:val="00635AEE"/>
    <w:rsid w:val="006419CF"/>
    <w:rsid w:val="00643B4A"/>
    <w:rsid w:val="006556A7"/>
    <w:rsid w:val="00655BF7"/>
    <w:rsid w:val="00662BBE"/>
    <w:rsid w:val="0066420B"/>
    <w:rsid w:val="0066675B"/>
    <w:rsid w:val="00667288"/>
    <w:rsid w:val="00670123"/>
    <w:rsid w:val="00683F07"/>
    <w:rsid w:val="0068474C"/>
    <w:rsid w:val="00684853"/>
    <w:rsid w:val="00687730"/>
    <w:rsid w:val="00690B26"/>
    <w:rsid w:val="00690CD9"/>
    <w:rsid w:val="0069354D"/>
    <w:rsid w:val="00693614"/>
    <w:rsid w:val="00694139"/>
    <w:rsid w:val="00697178"/>
    <w:rsid w:val="006C62CA"/>
    <w:rsid w:val="006D1201"/>
    <w:rsid w:val="006D2D43"/>
    <w:rsid w:val="006E25C7"/>
    <w:rsid w:val="006E2BBD"/>
    <w:rsid w:val="006E53B3"/>
    <w:rsid w:val="006E60D2"/>
    <w:rsid w:val="006E675A"/>
    <w:rsid w:val="006F2F55"/>
    <w:rsid w:val="006F40D5"/>
    <w:rsid w:val="006F50AB"/>
    <w:rsid w:val="006F536F"/>
    <w:rsid w:val="007006BA"/>
    <w:rsid w:val="00701432"/>
    <w:rsid w:val="00701958"/>
    <w:rsid w:val="00702EE0"/>
    <w:rsid w:val="00703879"/>
    <w:rsid w:val="0070433F"/>
    <w:rsid w:val="00704F1F"/>
    <w:rsid w:val="00706786"/>
    <w:rsid w:val="0072453D"/>
    <w:rsid w:val="00726780"/>
    <w:rsid w:val="007337A8"/>
    <w:rsid w:val="00734DE6"/>
    <w:rsid w:val="007372E4"/>
    <w:rsid w:val="00757D93"/>
    <w:rsid w:val="00763E0E"/>
    <w:rsid w:val="007656A9"/>
    <w:rsid w:val="007675A7"/>
    <w:rsid w:val="00771943"/>
    <w:rsid w:val="00772E31"/>
    <w:rsid w:val="007730A8"/>
    <w:rsid w:val="007749D6"/>
    <w:rsid w:val="007765FA"/>
    <w:rsid w:val="00781957"/>
    <w:rsid w:val="0078544D"/>
    <w:rsid w:val="00786963"/>
    <w:rsid w:val="00790491"/>
    <w:rsid w:val="0079396E"/>
    <w:rsid w:val="00793B4B"/>
    <w:rsid w:val="00795B14"/>
    <w:rsid w:val="00796EE3"/>
    <w:rsid w:val="007A07D2"/>
    <w:rsid w:val="007A2C72"/>
    <w:rsid w:val="007A7C92"/>
    <w:rsid w:val="007C519B"/>
    <w:rsid w:val="007C5C06"/>
    <w:rsid w:val="007C6252"/>
    <w:rsid w:val="007D338B"/>
    <w:rsid w:val="007D45C7"/>
    <w:rsid w:val="007D7D17"/>
    <w:rsid w:val="007E086E"/>
    <w:rsid w:val="007E28F2"/>
    <w:rsid w:val="007E3367"/>
    <w:rsid w:val="007E356D"/>
    <w:rsid w:val="007E7042"/>
    <w:rsid w:val="007F001B"/>
    <w:rsid w:val="007F07EA"/>
    <w:rsid w:val="007F6839"/>
    <w:rsid w:val="00801C95"/>
    <w:rsid w:val="00816325"/>
    <w:rsid w:val="00830EB6"/>
    <w:rsid w:val="008339B0"/>
    <w:rsid w:val="0086054A"/>
    <w:rsid w:val="00864F61"/>
    <w:rsid w:val="00865E6F"/>
    <w:rsid w:val="00872D92"/>
    <w:rsid w:val="008737C0"/>
    <w:rsid w:val="00875F7A"/>
    <w:rsid w:val="008812FD"/>
    <w:rsid w:val="00882146"/>
    <w:rsid w:val="00882263"/>
    <w:rsid w:val="00884B19"/>
    <w:rsid w:val="00890176"/>
    <w:rsid w:val="00892DE0"/>
    <w:rsid w:val="00893DB5"/>
    <w:rsid w:val="00894449"/>
    <w:rsid w:val="008A1BF7"/>
    <w:rsid w:val="008A3E67"/>
    <w:rsid w:val="008A3F2C"/>
    <w:rsid w:val="008A5CE0"/>
    <w:rsid w:val="008A70CD"/>
    <w:rsid w:val="008B0B75"/>
    <w:rsid w:val="008B36CE"/>
    <w:rsid w:val="008B416A"/>
    <w:rsid w:val="008B7739"/>
    <w:rsid w:val="008C03E5"/>
    <w:rsid w:val="008C0FE7"/>
    <w:rsid w:val="008C1AB7"/>
    <w:rsid w:val="008C4BED"/>
    <w:rsid w:val="008C685A"/>
    <w:rsid w:val="008C7729"/>
    <w:rsid w:val="008C782B"/>
    <w:rsid w:val="008D7CDB"/>
    <w:rsid w:val="008E20EE"/>
    <w:rsid w:val="008E2AF3"/>
    <w:rsid w:val="008E3062"/>
    <w:rsid w:val="008F0919"/>
    <w:rsid w:val="008F3063"/>
    <w:rsid w:val="008F3195"/>
    <w:rsid w:val="008F39BC"/>
    <w:rsid w:val="008F5E12"/>
    <w:rsid w:val="008F764E"/>
    <w:rsid w:val="00902FBD"/>
    <w:rsid w:val="009042EC"/>
    <w:rsid w:val="0090543E"/>
    <w:rsid w:val="009113C1"/>
    <w:rsid w:val="00913F71"/>
    <w:rsid w:val="009167DE"/>
    <w:rsid w:val="009204E4"/>
    <w:rsid w:val="00920691"/>
    <w:rsid w:val="00920AAC"/>
    <w:rsid w:val="00920D2C"/>
    <w:rsid w:val="009265A3"/>
    <w:rsid w:val="0093106C"/>
    <w:rsid w:val="009334FD"/>
    <w:rsid w:val="009345F8"/>
    <w:rsid w:val="0093579F"/>
    <w:rsid w:val="009429AC"/>
    <w:rsid w:val="00961DBC"/>
    <w:rsid w:val="009624AB"/>
    <w:rsid w:val="00967A99"/>
    <w:rsid w:val="00973178"/>
    <w:rsid w:val="009746BA"/>
    <w:rsid w:val="00974CBC"/>
    <w:rsid w:val="00976407"/>
    <w:rsid w:val="00981533"/>
    <w:rsid w:val="00981580"/>
    <w:rsid w:val="00986B7E"/>
    <w:rsid w:val="0098770F"/>
    <w:rsid w:val="00993071"/>
    <w:rsid w:val="009A3CC1"/>
    <w:rsid w:val="009A62AF"/>
    <w:rsid w:val="009A66B9"/>
    <w:rsid w:val="009B0E2F"/>
    <w:rsid w:val="009B0F30"/>
    <w:rsid w:val="009C35FE"/>
    <w:rsid w:val="009C5366"/>
    <w:rsid w:val="009C5CE0"/>
    <w:rsid w:val="009C6AA0"/>
    <w:rsid w:val="009D29F6"/>
    <w:rsid w:val="009D3451"/>
    <w:rsid w:val="009D3876"/>
    <w:rsid w:val="009D6C98"/>
    <w:rsid w:val="009D7B25"/>
    <w:rsid w:val="009D7B86"/>
    <w:rsid w:val="009D7C59"/>
    <w:rsid w:val="009E7658"/>
    <w:rsid w:val="009F40B5"/>
    <w:rsid w:val="00A018F4"/>
    <w:rsid w:val="00A14227"/>
    <w:rsid w:val="00A1456E"/>
    <w:rsid w:val="00A169E2"/>
    <w:rsid w:val="00A34369"/>
    <w:rsid w:val="00A35901"/>
    <w:rsid w:val="00A3663E"/>
    <w:rsid w:val="00A40031"/>
    <w:rsid w:val="00A45BA4"/>
    <w:rsid w:val="00A57A79"/>
    <w:rsid w:val="00A66FF6"/>
    <w:rsid w:val="00A71477"/>
    <w:rsid w:val="00A725B2"/>
    <w:rsid w:val="00A730CD"/>
    <w:rsid w:val="00A73E4E"/>
    <w:rsid w:val="00A80D70"/>
    <w:rsid w:val="00A81285"/>
    <w:rsid w:val="00A82AF0"/>
    <w:rsid w:val="00A92898"/>
    <w:rsid w:val="00A93D4D"/>
    <w:rsid w:val="00AA2299"/>
    <w:rsid w:val="00AA57D1"/>
    <w:rsid w:val="00AB6798"/>
    <w:rsid w:val="00AC7800"/>
    <w:rsid w:val="00AD10E6"/>
    <w:rsid w:val="00AD6989"/>
    <w:rsid w:val="00AE05C4"/>
    <w:rsid w:val="00AF1422"/>
    <w:rsid w:val="00AF75F3"/>
    <w:rsid w:val="00B02796"/>
    <w:rsid w:val="00B13316"/>
    <w:rsid w:val="00B16DFC"/>
    <w:rsid w:val="00B20A12"/>
    <w:rsid w:val="00B225D8"/>
    <w:rsid w:val="00B229AB"/>
    <w:rsid w:val="00B26047"/>
    <w:rsid w:val="00B32061"/>
    <w:rsid w:val="00B42203"/>
    <w:rsid w:val="00B44761"/>
    <w:rsid w:val="00B505DC"/>
    <w:rsid w:val="00B50B38"/>
    <w:rsid w:val="00B6272D"/>
    <w:rsid w:val="00B637AA"/>
    <w:rsid w:val="00B66CC5"/>
    <w:rsid w:val="00B7549C"/>
    <w:rsid w:val="00B75C89"/>
    <w:rsid w:val="00B772D9"/>
    <w:rsid w:val="00B8450F"/>
    <w:rsid w:val="00B8532C"/>
    <w:rsid w:val="00B87AA4"/>
    <w:rsid w:val="00BA15F4"/>
    <w:rsid w:val="00BA5D74"/>
    <w:rsid w:val="00BB30F9"/>
    <w:rsid w:val="00BC1BB2"/>
    <w:rsid w:val="00BC3B4A"/>
    <w:rsid w:val="00BD1004"/>
    <w:rsid w:val="00BE3D7B"/>
    <w:rsid w:val="00BF33D5"/>
    <w:rsid w:val="00BF352E"/>
    <w:rsid w:val="00C07620"/>
    <w:rsid w:val="00C079EE"/>
    <w:rsid w:val="00C10B36"/>
    <w:rsid w:val="00C1118F"/>
    <w:rsid w:val="00C20A30"/>
    <w:rsid w:val="00C23938"/>
    <w:rsid w:val="00C30BCA"/>
    <w:rsid w:val="00C3158B"/>
    <w:rsid w:val="00C32413"/>
    <w:rsid w:val="00C35C59"/>
    <w:rsid w:val="00C3689A"/>
    <w:rsid w:val="00C369D5"/>
    <w:rsid w:val="00C40D2F"/>
    <w:rsid w:val="00C52E5C"/>
    <w:rsid w:val="00C53F61"/>
    <w:rsid w:val="00C5504B"/>
    <w:rsid w:val="00C57A1D"/>
    <w:rsid w:val="00C64952"/>
    <w:rsid w:val="00C77602"/>
    <w:rsid w:val="00C80111"/>
    <w:rsid w:val="00C812B5"/>
    <w:rsid w:val="00C85471"/>
    <w:rsid w:val="00C95EFE"/>
    <w:rsid w:val="00CA7454"/>
    <w:rsid w:val="00CB0B37"/>
    <w:rsid w:val="00CB0D4A"/>
    <w:rsid w:val="00CB2BA0"/>
    <w:rsid w:val="00CB2C74"/>
    <w:rsid w:val="00CB30E6"/>
    <w:rsid w:val="00CB6400"/>
    <w:rsid w:val="00CB77CD"/>
    <w:rsid w:val="00CC07F5"/>
    <w:rsid w:val="00CC47E4"/>
    <w:rsid w:val="00CC5333"/>
    <w:rsid w:val="00CC617E"/>
    <w:rsid w:val="00CC68B2"/>
    <w:rsid w:val="00CC69FA"/>
    <w:rsid w:val="00CD3666"/>
    <w:rsid w:val="00CD4F1B"/>
    <w:rsid w:val="00CE1595"/>
    <w:rsid w:val="00CE45E9"/>
    <w:rsid w:val="00CF1A54"/>
    <w:rsid w:val="00CF2FB8"/>
    <w:rsid w:val="00D00F09"/>
    <w:rsid w:val="00D10550"/>
    <w:rsid w:val="00D14042"/>
    <w:rsid w:val="00D204F3"/>
    <w:rsid w:val="00D220F4"/>
    <w:rsid w:val="00D26E87"/>
    <w:rsid w:val="00D334F0"/>
    <w:rsid w:val="00D343C4"/>
    <w:rsid w:val="00D40CB3"/>
    <w:rsid w:val="00D40CFA"/>
    <w:rsid w:val="00D41BDC"/>
    <w:rsid w:val="00D424FE"/>
    <w:rsid w:val="00D43C69"/>
    <w:rsid w:val="00D44255"/>
    <w:rsid w:val="00D47D65"/>
    <w:rsid w:val="00D502E1"/>
    <w:rsid w:val="00D601B9"/>
    <w:rsid w:val="00D66086"/>
    <w:rsid w:val="00D70BE6"/>
    <w:rsid w:val="00D8507B"/>
    <w:rsid w:val="00D919C4"/>
    <w:rsid w:val="00D94C1A"/>
    <w:rsid w:val="00D95AED"/>
    <w:rsid w:val="00D97043"/>
    <w:rsid w:val="00DA55F4"/>
    <w:rsid w:val="00DA68A5"/>
    <w:rsid w:val="00DB57C9"/>
    <w:rsid w:val="00DB786C"/>
    <w:rsid w:val="00DC0FC7"/>
    <w:rsid w:val="00DC4DE8"/>
    <w:rsid w:val="00DC648A"/>
    <w:rsid w:val="00DC714C"/>
    <w:rsid w:val="00DD2DE3"/>
    <w:rsid w:val="00DE5262"/>
    <w:rsid w:val="00DF603C"/>
    <w:rsid w:val="00E00673"/>
    <w:rsid w:val="00E1126A"/>
    <w:rsid w:val="00E12580"/>
    <w:rsid w:val="00E17A34"/>
    <w:rsid w:val="00E242CF"/>
    <w:rsid w:val="00E2505F"/>
    <w:rsid w:val="00E42838"/>
    <w:rsid w:val="00E43D36"/>
    <w:rsid w:val="00E444AE"/>
    <w:rsid w:val="00E60B9B"/>
    <w:rsid w:val="00E63558"/>
    <w:rsid w:val="00E637C7"/>
    <w:rsid w:val="00E63D43"/>
    <w:rsid w:val="00E64926"/>
    <w:rsid w:val="00E66EC1"/>
    <w:rsid w:val="00E675F6"/>
    <w:rsid w:val="00E81302"/>
    <w:rsid w:val="00E85B13"/>
    <w:rsid w:val="00E87038"/>
    <w:rsid w:val="00E90CB5"/>
    <w:rsid w:val="00E959D7"/>
    <w:rsid w:val="00EA04DE"/>
    <w:rsid w:val="00EA6D10"/>
    <w:rsid w:val="00EA70A5"/>
    <w:rsid w:val="00EB2C89"/>
    <w:rsid w:val="00EB54E3"/>
    <w:rsid w:val="00EC0712"/>
    <w:rsid w:val="00EC19A6"/>
    <w:rsid w:val="00EC7352"/>
    <w:rsid w:val="00EC7D82"/>
    <w:rsid w:val="00ED09A3"/>
    <w:rsid w:val="00ED6B28"/>
    <w:rsid w:val="00EE39A4"/>
    <w:rsid w:val="00EF3CF0"/>
    <w:rsid w:val="00EF4BE4"/>
    <w:rsid w:val="00F008C6"/>
    <w:rsid w:val="00F058BD"/>
    <w:rsid w:val="00F06482"/>
    <w:rsid w:val="00F06D46"/>
    <w:rsid w:val="00F06D79"/>
    <w:rsid w:val="00F1133A"/>
    <w:rsid w:val="00F17262"/>
    <w:rsid w:val="00F35675"/>
    <w:rsid w:val="00F4167E"/>
    <w:rsid w:val="00F439C5"/>
    <w:rsid w:val="00F45574"/>
    <w:rsid w:val="00F50C86"/>
    <w:rsid w:val="00F51AF1"/>
    <w:rsid w:val="00F54FBE"/>
    <w:rsid w:val="00F5762B"/>
    <w:rsid w:val="00F6052B"/>
    <w:rsid w:val="00F65240"/>
    <w:rsid w:val="00F73239"/>
    <w:rsid w:val="00F745D2"/>
    <w:rsid w:val="00F7573F"/>
    <w:rsid w:val="00F95B7C"/>
    <w:rsid w:val="00FA4C01"/>
    <w:rsid w:val="00FA5871"/>
    <w:rsid w:val="00FA768C"/>
    <w:rsid w:val="00FB1D6D"/>
    <w:rsid w:val="00FB40B2"/>
    <w:rsid w:val="00FB697E"/>
    <w:rsid w:val="00FD2F82"/>
    <w:rsid w:val="00FE26DA"/>
    <w:rsid w:val="00FE7305"/>
    <w:rsid w:val="00FF640D"/>
    <w:rsid w:val="01475F4C"/>
    <w:rsid w:val="01534886"/>
    <w:rsid w:val="01706B51"/>
    <w:rsid w:val="019402F2"/>
    <w:rsid w:val="01C23C1F"/>
    <w:rsid w:val="01CA508F"/>
    <w:rsid w:val="01DF5918"/>
    <w:rsid w:val="01F857A3"/>
    <w:rsid w:val="02195EFF"/>
    <w:rsid w:val="024D1709"/>
    <w:rsid w:val="02513473"/>
    <w:rsid w:val="025F0FE8"/>
    <w:rsid w:val="02B6581E"/>
    <w:rsid w:val="02D36DFE"/>
    <w:rsid w:val="02E543BF"/>
    <w:rsid w:val="02E76E29"/>
    <w:rsid w:val="02E96621"/>
    <w:rsid w:val="02EA67DB"/>
    <w:rsid w:val="02EF7F8A"/>
    <w:rsid w:val="031D7077"/>
    <w:rsid w:val="03353D51"/>
    <w:rsid w:val="03563977"/>
    <w:rsid w:val="03612BBC"/>
    <w:rsid w:val="03626374"/>
    <w:rsid w:val="036C2D31"/>
    <w:rsid w:val="037C5DD6"/>
    <w:rsid w:val="037E67A4"/>
    <w:rsid w:val="039B5FB9"/>
    <w:rsid w:val="03B519EC"/>
    <w:rsid w:val="03B75CAF"/>
    <w:rsid w:val="03C926DB"/>
    <w:rsid w:val="03F84D6E"/>
    <w:rsid w:val="03FA504C"/>
    <w:rsid w:val="040B1F86"/>
    <w:rsid w:val="04221DEB"/>
    <w:rsid w:val="04265201"/>
    <w:rsid w:val="04322842"/>
    <w:rsid w:val="043434AC"/>
    <w:rsid w:val="04992AC5"/>
    <w:rsid w:val="04A53964"/>
    <w:rsid w:val="04AA2F77"/>
    <w:rsid w:val="04AE0C4B"/>
    <w:rsid w:val="04EB318E"/>
    <w:rsid w:val="055E5A75"/>
    <w:rsid w:val="055F0031"/>
    <w:rsid w:val="056A51CC"/>
    <w:rsid w:val="059F617A"/>
    <w:rsid w:val="05CB2AAE"/>
    <w:rsid w:val="05CF711A"/>
    <w:rsid w:val="05E679DB"/>
    <w:rsid w:val="05FA10B9"/>
    <w:rsid w:val="05FA73ED"/>
    <w:rsid w:val="06021819"/>
    <w:rsid w:val="060314E8"/>
    <w:rsid w:val="06181458"/>
    <w:rsid w:val="06217A53"/>
    <w:rsid w:val="063B1806"/>
    <w:rsid w:val="064F7E08"/>
    <w:rsid w:val="065000EE"/>
    <w:rsid w:val="06677F5E"/>
    <w:rsid w:val="06712BB6"/>
    <w:rsid w:val="068525C2"/>
    <w:rsid w:val="06CC7866"/>
    <w:rsid w:val="06E10A3A"/>
    <w:rsid w:val="06FC7527"/>
    <w:rsid w:val="071130F2"/>
    <w:rsid w:val="071A025D"/>
    <w:rsid w:val="072D306E"/>
    <w:rsid w:val="074E3A09"/>
    <w:rsid w:val="076475FE"/>
    <w:rsid w:val="077A4B69"/>
    <w:rsid w:val="07AB0349"/>
    <w:rsid w:val="07C0519A"/>
    <w:rsid w:val="07F26AC5"/>
    <w:rsid w:val="080A6D71"/>
    <w:rsid w:val="082869DF"/>
    <w:rsid w:val="08387B92"/>
    <w:rsid w:val="083921C0"/>
    <w:rsid w:val="084F732A"/>
    <w:rsid w:val="089F5852"/>
    <w:rsid w:val="08B2297D"/>
    <w:rsid w:val="08B94B40"/>
    <w:rsid w:val="08C76C10"/>
    <w:rsid w:val="08D07DF4"/>
    <w:rsid w:val="08FD4BD5"/>
    <w:rsid w:val="0913666B"/>
    <w:rsid w:val="09286EB4"/>
    <w:rsid w:val="093A3F7E"/>
    <w:rsid w:val="094E71DE"/>
    <w:rsid w:val="09554A11"/>
    <w:rsid w:val="09697F67"/>
    <w:rsid w:val="097A43F4"/>
    <w:rsid w:val="09BE1A4A"/>
    <w:rsid w:val="09C0632E"/>
    <w:rsid w:val="09CB6A81"/>
    <w:rsid w:val="0A091A97"/>
    <w:rsid w:val="0A5532F2"/>
    <w:rsid w:val="0A681755"/>
    <w:rsid w:val="0A71049A"/>
    <w:rsid w:val="0A794DD1"/>
    <w:rsid w:val="0A841AC4"/>
    <w:rsid w:val="0A8B5483"/>
    <w:rsid w:val="0AB10A9B"/>
    <w:rsid w:val="0AEC3025"/>
    <w:rsid w:val="0B1306DF"/>
    <w:rsid w:val="0B1D42A9"/>
    <w:rsid w:val="0B1F0E32"/>
    <w:rsid w:val="0B660046"/>
    <w:rsid w:val="0BA577C7"/>
    <w:rsid w:val="0BFC46B3"/>
    <w:rsid w:val="0C1110C3"/>
    <w:rsid w:val="0C192719"/>
    <w:rsid w:val="0C2D56AB"/>
    <w:rsid w:val="0C2D77C7"/>
    <w:rsid w:val="0C39658E"/>
    <w:rsid w:val="0C4818C1"/>
    <w:rsid w:val="0C523489"/>
    <w:rsid w:val="0C5E6D8B"/>
    <w:rsid w:val="0C7D5E38"/>
    <w:rsid w:val="0C85560D"/>
    <w:rsid w:val="0CC65BF5"/>
    <w:rsid w:val="0D0A0344"/>
    <w:rsid w:val="0D0D68E4"/>
    <w:rsid w:val="0D135FA2"/>
    <w:rsid w:val="0D1D283B"/>
    <w:rsid w:val="0D314E4D"/>
    <w:rsid w:val="0D453FAA"/>
    <w:rsid w:val="0D5177F8"/>
    <w:rsid w:val="0D73115B"/>
    <w:rsid w:val="0D731909"/>
    <w:rsid w:val="0DB46FC1"/>
    <w:rsid w:val="0DB754D8"/>
    <w:rsid w:val="0DE40111"/>
    <w:rsid w:val="0E016582"/>
    <w:rsid w:val="0E060444"/>
    <w:rsid w:val="0E09225C"/>
    <w:rsid w:val="0E4D42C3"/>
    <w:rsid w:val="0E6E7837"/>
    <w:rsid w:val="0EA75865"/>
    <w:rsid w:val="0EC344C2"/>
    <w:rsid w:val="0ED168E7"/>
    <w:rsid w:val="0EE06F85"/>
    <w:rsid w:val="0F3C566E"/>
    <w:rsid w:val="0F802C35"/>
    <w:rsid w:val="0F861963"/>
    <w:rsid w:val="0FB052B9"/>
    <w:rsid w:val="0FC55176"/>
    <w:rsid w:val="0FF363B7"/>
    <w:rsid w:val="0FF42166"/>
    <w:rsid w:val="0FFE2D27"/>
    <w:rsid w:val="10552BB4"/>
    <w:rsid w:val="109C7FA8"/>
    <w:rsid w:val="109E0A4B"/>
    <w:rsid w:val="10B4026F"/>
    <w:rsid w:val="10CF3825"/>
    <w:rsid w:val="10D325A0"/>
    <w:rsid w:val="11951E4E"/>
    <w:rsid w:val="11B53590"/>
    <w:rsid w:val="11B64A09"/>
    <w:rsid w:val="11E62081"/>
    <w:rsid w:val="11E81B1C"/>
    <w:rsid w:val="12036A7C"/>
    <w:rsid w:val="121865DB"/>
    <w:rsid w:val="1264592D"/>
    <w:rsid w:val="127F4097"/>
    <w:rsid w:val="12942106"/>
    <w:rsid w:val="12B92052"/>
    <w:rsid w:val="12BC2402"/>
    <w:rsid w:val="12C556DB"/>
    <w:rsid w:val="12E67FF1"/>
    <w:rsid w:val="12EF6194"/>
    <w:rsid w:val="12F66DB7"/>
    <w:rsid w:val="130072C9"/>
    <w:rsid w:val="131F2603"/>
    <w:rsid w:val="13436D93"/>
    <w:rsid w:val="134911E5"/>
    <w:rsid w:val="13C5042F"/>
    <w:rsid w:val="13F05258"/>
    <w:rsid w:val="14517238"/>
    <w:rsid w:val="146F0EF7"/>
    <w:rsid w:val="14700951"/>
    <w:rsid w:val="14821B1C"/>
    <w:rsid w:val="148C2221"/>
    <w:rsid w:val="14A57166"/>
    <w:rsid w:val="14B82D86"/>
    <w:rsid w:val="14D03642"/>
    <w:rsid w:val="14E75991"/>
    <w:rsid w:val="14F26462"/>
    <w:rsid w:val="15015A4D"/>
    <w:rsid w:val="15070B0C"/>
    <w:rsid w:val="152606AA"/>
    <w:rsid w:val="15431BC1"/>
    <w:rsid w:val="1564640F"/>
    <w:rsid w:val="15654CC0"/>
    <w:rsid w:val="15684287"/>
    <w:rsid w:val="15D54F8D"/>
    <w:rsid w:val="16361C22"/>
    <w:rsid w:val="16464826"/>
    <w:rsid w:val="16704C38"/>
    <w:rsid w:val="16B0409A"/>
    <w:rsid w:val="16BC1477"/>
    <w:rsid w:val="16C01BED"/>
    <w:rsid w:val="16C1494F"/>
    <w:rsid w:val="16F13FB4"/>
    <w:rsid w:val="173605A8"/>
    <w:rsid w:val="173E6AE4"/>
    <w:rsid w:val="1768519F"/>
    <w:rsid w:val="177064D1"/>
    <w:rsid w:val="177F50A2"/>
    <w:rsid w:val="17860599"/>
    <w:rsid w:val="17A73144"/>
    <w:rsid w:val="17F9374E"/>
    <w:rsid w:val="180C6BE2"/>
    <w:rsid w:val="184055DA"/>
    <w:rsid w:val="184A173C"/>
    <w:rsid w:val="1855501D"/>
    <w:rsid w:val="185645E4"/>
    <w:rsid w:val="18680590"/>
    <w:rsid w:val="189C51F3"/>
    <w:rsid w:val="18EA6F23"/>
    <w:rsid w:val="18ED346F"/>
    <w:rsid w:val="190128E2"/>
    <w:rsid w:val="190B5B58"/>
    <w:rsid w:val="192B5295"/>
    <w:rsid w:val="194508EA"/>
    <w:rsid w:val="194A694A"/>
    <w:rsid w:val="19554925"/>
    <w:rsid w:val="195D2F0D"/>
    <w:rsid w:val="1965725F"/>
    <w:rsid w:val="19662014"/>
    <w:rsid w:val="197D33E0"/>
    <w:rsid w:val="19946336"/>
    <w:rsid w:val="19D76D7C"/>
    <w:rsid w:val="19DD25E4"/>
    <w:rsid w:val="1A0B6202"/>
    <w:rsid w:val="1A3D4738"/>
    <w:rsid w:val="1A522A0F"/>
    <w:rsid w:val="1A6B1B1A"/>
    <w:rsid w:val="1A785B6D"/>
    <w:rsid w:val="1A8C2F82"/>
    <w:rsid w:val="1AAA3B6E"/>
    <w:rsid w:val="1ACC1F34"/>
    <w:rsid w:val="1B25210D"/>
    <w:rsid w:val="1B2F5544"/>
    <w:rsid w:val="1B4712D9"/>
    <w:rsid w:val="1B4E2459"/>
    <w:rsid w:val="1B51787E"/>
    <w:rsid w:val="1B567C3A"/>
    <w:rsid w:val="1B634D6B"/>
    <w:rsid w:val="1B817443"/>
    <w:rsid w:val="1BBA04BC"/>
    <w:rsid w:val="1BE60DAC"/>
    <w:rsid w:val="1BE97AA7"/>
    <w:rsid w:val="1C156444"/>
    <w:rsid w:val="1C697A1B"/>
    <w:rsid w:val="1C7B2C27"/>
    <w:rsid w:val="1C914D3A"/>
    <w:rsid w:val="1CEC5D5B"/>
    <w:rsid w:val="1D25223D"/>
    <w:rsid w:val="1D383FD6"/>
    <w:rsid w:val="1D3E69BA"/>
    <w:rsid w:val="1D64544C"/>
    <w:rsid w:val="1D6511CE"/>
    <w:rsid w:val="1D803BC6"/>
    <w:rsid w:val="1D87489F"/>
    <w:rsid w:val="1D925448"/>
    <w:rsid w:val="1D9A2942"/>
    <w:rsid w:val="1DA92CFE"/>
    <w:rsid w:val="1DB73EE5"/>
    <w:rsid w:val="1DC36415"/>
    <w:rsid w:val="1DEB1911"/>
    <w:rsid w:val="1E155F2E"/>
    <w:rsid w:val="1EA43E7F"/>
    <w:rsid w:val="1EA510B4"/>
    <w:rsid w:val="1ECD4103"/>
    <w:rsid w:val="1ED41ADC"/>
    <w:rsid w:val="1EEB7551"/>
    <w:rsid w:val="1EF345B4"/>
    <w:rsid w:val="1EFD54D7"/>
    <w:rsid w:val="1F065B9F"/>
    <w:rsid w:val="1F2130B9"/>
    <w:rsid w:val="1F386165"/>
    <w:rsid w:val="1F4E6AF3"/>
    <w:rsid w:val="1F583184"/>
    <w:rsid w:val="1F5E6B86"/>
    <w:rsid w:val="1F686DF4"/>
    <w:rsid w:val="1F8B126F"/>
    <w:rsid w:val="1FCE4C57"/>
    <w:rsid w:val="1FD914FA"/>
    <w:rsid w:val="20155737"/>
    <w:rsid w:val="201840B9"/>
    <w:rsid w:val="201A3C0B"/>
    <w:rsid w:val="20484530"/>
    <w:rsid w:val="20502C38"/>
    <w:rsid w:val="20513F62"/>
    <w:rsid w:val="20530F54"/>
    <w:rsid w:val="20592CA8"/>
    <w:rsid w:val="20D37CE9"/>
    <w:rsid w:val="21347E99"/>
    <w:rsid w:val="21422BA7"/>
    <w:rsid w:val="214656A2"/>
    <w:rsid w:val="216058A9"/>
    <w:rsid w:val="216C3588"/>
    <w:rsid w:val="217554D4"/>
    <w:rsid w:val="218D6C22"/>
    <w:rsid w:val="21BA145D"/>
    <w:rsid w:val="21E52F3C"/>
    <w:rsid w:val="21ED6D02"/>
    <w:rsid w:val="21F4496F"/>
    <w:rsid w:val="21F570B6"/>
    <w:rsid w:val="22016982"/>
    <w:rsid w:val="22240F42"/>
    <w:rsid w:val="22266C5F"/>
    <w:rsid w:val="22390AA2"/>
    <w:rsid w:val="225C72CC"/>
    <w:rsid w:val="225C7FC2"/>
    <w:rsid w:val="2263051E"/>
    <w:rsid w:val="22A354AD"/>
    <w:rsid w:val="22CD11B1"/>
    <w:rsid w:val="22CF2CE6"/>
    <w:rsid w:val="230D51DF"/>
    <w:rsid w:val="2318643B"/>
    <w:rsid w:val="234D53E4"/>
    <w:rsid w:val="235A4182"/>
    <w:rsid w:val="23BB74BF"/>
    <w:rsid w:val="23C62C69"/>
    <w:rsid w:val="23C778EF"/>
    <w:rsid w:val="24080885"/>
    <w:rsid w:val="241A4478"/>
    <w:rsid w:val="24300355"/>
    <w:rsid w:val="243B64AA"/>
    <w:rsid w:val="2449571A"/>
    <w:rsid w:val="24537E90"/>
    <w:rsid w:val="245F3AB7"/>
    <w:rsid w:val="248F097F"/>
    <w:rsid w:val="24AC0D61"/>
    <w:rsid w:val="24E75A9E"/>
    <w:rsid w:val="250872C6"/>
    <w:rsid w:val="250C0222"/>
    <w:rsid w:val="25297123"/>
    <w:rsid w:val="252B7521"/>
    <w:rsid w:val="256C0CC0"/>
    <w:rsid w:val="258309F4"/>
    <w:rsid w:val="258778A8"/>
    <w:rsid w:val="25893115"/>
    <w:rsid w:val="25974B38"/>
    <w:rsid w:val="25BD00CC"/>
    <w:rsid w:val="25D75D11"/>
    <w:rsid w:val="25F2185F"/>
    <w:rsid w:val="260F7A53"/>
    <w:rsid w:val="262F15E5"/>
    <w:rsid w:val="264C3FDF"/>
    <w:rsid w:val="26A013A4"/>
    <w:rsid w:val="26A7771F"/>
    <w:rsid w:val="26AE6BC8"/>
    <w:rsid w:val="26B529E4"/>
    <w:rsid w:val="26D134D1"/>
    <w:rsid w:val="26E90A4A"/>
    <w:rsid w:val="274700D7"/>
    <w:rsid w:val="277A2225"/>
    <w:rsid w:val="278626CB"/>
    <w:rsid w:val="27C00DC2"/>
    <w:rsid w:val="27E37D01"/>
    <w:rsid w:val="27F032F3"/>
    <w:rsid w:val="27FA4ADC"/>
    <w:rsid w:val="28195903"/>
    <w:rsid w:val="281E7682"/>
    <w:rsid w:val="282E16A4"/>
    <w:rsid w:val="28435053"/>
    <w:rsid w:val="289D047C"/>
    <w:rsid w:val="28D066DD"/>
    <w:rsid w:val="28E65504"/>
    <w:rsid w:val="290A7C93"/>
    <w:rsid w:val="292D69B8"/>
    <w:rsid w:val="298947F0"/>
    <w:rsid w:val="29ED2AF7"/>
    <w:rsid w:val="2A5D260D"/>
    <w:rsid w:val="2AA83FCC"/>
    <w:rsid w:val="2ABF1892"/>
    <w:rsid w:val="2ACB4310"/>
    <w:rsid w:val="2AD63BF5"/>
    <w:rsid w:val="2AFC6B23"/>
    <w:rsid w:val="2B572BF0"/>
    <w:rsid w:val="2B5E219E"/>
    <w:rsid w:val="2B6B3A9B"/>
    <w:rsid w:val="2B6D3138"/>
    <w:rsid w:val="2B7408CF"/>
    <w:rsid w:val="2B824D9A"/>
    <w:rsid w:val="2B9C39E8"/>
    <w:rsid w:val="2BAF6397"/>
    <w:rsid w:val="2BC01222"/>
    <w:rsid w:val="2BC0798B"/>
    <w:rsid w:val="2BFA411B"/>
    <w:rsid w:val="2BFF6C1C"/>
    <w:rsid w:val="2BFFAB4B"/>
    <w:rsid w:val="2C390261"/>
    <w:rsid w:val="2C406EF9"/>
    <w:rsid w:val="2C5F19F0"/>
    <w:rsid w:val="2C72393F"/>
    <w:rsid w:val="2C8C575E"/>
    <w:rsid w:val="2C8E2A72"/>
    <w:rsid w:val="2CA55C18"/>
    <w:rsid w:val="2CAC0ABD"/>
    <w:rsid w:val="2CB92B9B"/>
    <w:rsid w:val="2CB9C27D"/>
    <w:rsid w:val="2CBE62A5"/>
    <w:rsid w:val="2CC13E88"/>
    <w:rsid w:val="2CCB6C14"/>
    <w:rsid w:val="2CED57B2"/>
    <w:rsid w:val="2D037CDC"/>
    <w:rsid w:val="2D123B9F"/>
    <w:rsid w:val="2D391DD0"/>
    <w:rsid w:val="2D5664DE"/>
    <w:rsid w:val="2D812304"/>
    <w:rsid w:val="2D8336B1"/>
    <w:rsid w:val="2DA01E4F"/>
    <w:rsid w:val="2DBC703D"/>
    <w:rsid w:val="2DC378EB"/>
    <w:rsid w:val="2DC454A2"/>
    <w:rsid w:val="2DD30255"/>
    <w:rsid w:val="2DD511F7"/>
    <w:rsid w:val="2DE60C8D"/>
    <w:rsid w:val="2DEC5CEC"/>
    <w:rsid w:val="2DF43D7C"/>
    <w:rsid w:val="2DF60168"/>
    <w:rsid w:val="2DFC4336"/>
    <w:rsid w:val="2E125A9C"/>
    <w:rsid w:val="2E2760CC"/>
    <w:rsid w:val="2E2E224B"/>
    <w:rsid w:val="2E4572A5"/>
    <w:rsid w:val="2E83181F"/>
    <w:rsid w:val="2E855CB3"/>
    <w:rsid w:val="2EA7C053"/>
    <w:rsid w:val="2EB16E63"/>
    <w:rsid w:val="2EB93910"/>
    <w:rsid w:val="2ECB5A85"/>
    <w:rsid w:val="2ED65DDB"/>
    <w:rsid w:val="2EEB04A4"/>
    <w:rsid w:val="2EEB27D8"/>
    <w:rsid w:val="2EEB51CB"/>
    <w:rsid w:val="2EF915B8"/>
    <w:rsid w:val="2EFB2629"/>
    <w:rsid w:val="2F1E5C59"/>
    <w:rsid w:val="2F393404"/>
    <w:rsid w:val="2F3A028F"/>
    <w:rsid w:val="2F4949B3"/>
    <w:rsid w:val="2F66128E"/>
    <w:rsid w:val="2F6612F3"/>
    <w:rsid w:val="2F8623B4"/>
    <w:rsid w:val="2F8D3499"/>
    <w:rsid w:val="2F9804FC"/>
    <w:rsid w:val="2F9C50E2"/>
    <w:rsid w:val="2FC33BA1"/>
    <w:rsid w:val="2FCB1988"/>
    <w:rsid w:val="2FD613AD"/>
    <w:rsid w:val="2FE65CF4"/>
    <w:rsid w:val="2FE92215"/>
    <w:rsid w:val="2FEA73B1"/>
    <w:rsid w:val="30011829"/>
    <w:rsid w:val="303206FF"/>
    <w:rsid w:val="303439B2"/>
    <w:rsid w:val="30363A9B"/>
    <w:rsid w:val="304150EF"/>
    <w:rsid w:val="30922231"/>
    <w:rsid w:val="309E3EEB"/>
    <w:rsid w:val="30A05162"/>
    <w:rsid w:val="30B637BB"/>
    <w:rsid w:val="30F77969"/>
    <w:rsid w:val="31420665"/>
    <w:rsid w:val="31427D18"/>
    <w:rsid w:val="31526CA3"/>
    <w:rsid w:val="315B641D"/>
    <w:rsid w:val="31696A79"/>
    <w:rsid w:val="318F6462"/>
    <w:rsid w:val="31A926C1"/>
    <w:rsid w:val="31AF109E"/>
    <w:rsid w:val="31BA72DE"/>
    <w:rsid w:val="31C23A28"/>
    <w:rsid w:val="31CD038D"/>
    <w:rsid w:val="31D06431"/>
    <w:rsid w:val="31F17CD9"/>
    <w:rsid w:val="320971C5"/>
    <w:rsid w:val="321804DC"/>
    <w:rsid w:val="32260056"/>
    <w:rsid w:val="32407123"/>
    <w:rsid w:val="32475674"/>
    <w:rsid w:val="32546C1D"/>
    <w:rsid w:val="32676A97"/>
    <w:rsid w:val="326823DA"/>
    <w:rsid w:val="32967F9B"/>
    <w:rsid w:val="32A47CEB"/>
    <w:rsid w:val="32AA17EB"/>
    <w:rsid w:val="32D34437"/>
    <w:rsid w:val="330103E4"/>
    <w:rsid w:val="330919E5"/>
    <w:rsid w:val="33286456"/>
    <w:rsid w:val="334917A5"/>
    <w:rsid w:val="334D0AAF"/>
    <w:rsid w:val="335968C9"/>
    <w:rsid w:val="337429DE"/>
    <w:rsid w:val="3381627F"/>
    <w:rsid w:val="33842A17"/>
    <w:rsid w:val="33892AE2"/>
    <w:rsid w:val="33B50EEC"/>
    <w:rsid w:val="33BF6CBC"/>
    <w:rsid w:val="33C30E2A"/>
    <w:rsid w:val="33CF3684"/>
    <w:rsid w:val="33DA7D9A"/>
    <w:rsid w:val="33DC40AB"/>
    <w:rsid w:val="33EF6275"/>
    <w:rsid w:val="33F7D24F"/>
    <w:rsid w:val="33FE4DE5"/>
    <w:rsid w:val="34054E34"/>
    <w:rsid w:val="341845B1"/>
    <w:rsid w:val="343639E2"/>
    <w:rsid w:val="343E6D06"/>
    <w:rsid w:val="344C73B2"/>
    <w:rsid w:val="34713BFD"/>
    <w:rsid w:val="347D4A53"/>
    <w:rsid w:val="348B275B"/>
    <w:rsid w:val="34961392"/>
    <w:rsid w:val="34A341C3"/>
    <w:rsid w:val="34B04727"/>
    <w:rsid w:val="34BF36E1"/>
    <w:rsid w:val="34C14260"/>
    <w:rsid w:val="34C91FD3"/>
    <w:rsid w:val="34DF4244"/>
    <w:rsid w:val="34EA0879"/>
    <w:rsid w:val="35425CEE"/>
    <w:rsid w:val="3561025F"/>
    <w:rsid w:val="356F4942"/>
    <w:rsid w:val="35813D93"/>
    <w:rsid w:val="3587468B"/>
    <w:rsid w:val="35FFDDC6"/>
    <w:rsid w:val="362A4EB4"/>
    <w:rsid w:val="3645403C"/>
    <w:rsid w:val="36AD53FB"/>
    <w:rsid w:val="36E06B16"/>
    <w:rsid w:val="370D2F7A"/>
    <w:rsid w:val="37317DD1"/>
    <w:rsid w:val="377F2AD5"/>
    <w:rsid w:val="37861DC6"/>
    <w:rsid w:val="378850D4"/>
    <w:rsid w:val="37890866"/>
    <w:rsid w:val="37950E31"/>
    <w:rsid w:val="37970452"/>
    <w:rsid w:val="37C76F94"/>
    <w:rsid w:val="37EB5750"/>
    <w:rsid w:val="37FE2C44"/>
    <w:rsid w:val="37FE4DFA"/>
    <w:rsid w:val="380A6F39"/>
    <w:rsid w:val="38120B0B"/>
    <w:rsid w:val="381413A9"/>
    <w:rsid w:val="381C27E3"/>
    <w:rsid w:val="382563BF"/>
    <w:rsid w:val="385A06E4"/>
    <w:rsid w:val="386E47FC"/>
    <w:rsid w:val="387243E8"/>
    <w:rsid w:val="3875108A"/>
    <w:rsid w:val="38764865"/>
    <w:rsid w:val="38A33985"/>
    <w:rsid w:val="38CA6ACA"/>
    <w:rsid w:val="38DA6D95"/>
    <w:rsid w:val="38E77FE0"/>
    <w:rsid w:val="38F8669B"/>
    <w:rsid w:val="38F97BF1"/>
    <w:rsid w:val="39015289"/>
    <w:rsid w:val="392646B2"/>
    <w:rsid w:val="3928152B"/>
    <w:rsid w:val="39594E81"/>
    <w:rsid w:val="39784790"/>
    <w:rsid w:val="39EE51D8"/>
    <w:rsid w:val="39F66977"/>
    <w:rsid w:val="3A006CC3"/>
    <w:rsid w:val="3A37040D"/>
    <w:rsid w:val="3A403E01"/>
    <w:rsid w:val="3A457E13"/>
    <w:rsid w:val="3A6662BA"/>
    <w:rsid w:val="3A6C5B14"/>
    <w:rsid w:val="3A887C9D"/>
    <w:rsid w:val="3A8B0D65"/>
    <w:rsid w:val="3AA80702"/>
    <w:rsid w:val="3AAF42EB"/>
    <w:rsid w:val="3AB16B14"/>
    <w:rsid w:val="3AB820F4"/>
    <w:rsid w:val="3ABFC95E"/>
    <w:rsid w:val="3B733B8A"/>
    <w:rsid w:val="3BB749B7"/>
    <w:rsid w:val="3BF50795"/>
    <w:rsid w:val="3BFF4AFD"/>
    <w:rsid w:val="3C1C13C7"/>
    <w:rsid w:val="3C4C317F"/>
    <w:rsid w:val="3C642280"/>
    <w:rsid w:val="3C7544A7"/>
    <w:rsid w:val="3C7921E9"/>
    <w:rsid w:val="3C7C5835"/>
    <w:rsid w:val="3CF77FDF"/>
    <w:rsid w:val="3D3A70D8"/>
    <w:rsid w:val="3D420DB3"/>
    <w:rsid w:val="3D4C4C6D"/>
    <w:rsid w:val="3D805F3F"/>
    <w:rsid w:val="3D904135"/>
    <w:rsid w:val="3DA22B5E"/>
    <w:rsid w:val="3DC2196D"/>
    <w:rsid w:val="3DEC7C41"/>
    <w:rsid w:val="3DF338D5"/>
    <w:rsid w:val="3DF65AF4"/>
    <w:rsid w:val="3DFB00C6"/>
    <w:rsid w:val="3DFF6C1D"/>
    <w:rsid w:val="3E131085"/>
    <w:rsid w:val="3E4208F5"/>
    <w:rsid w:val="3E47798C"/>
    <w:rsid w:val="3E4E6A4F"/>
    <w:rsid w:val="3E569DAF"/>
    <w:rsid w:val="3E6A7F02"/>
    <w:rsid w:val="3EBA1C62"/>
    <w:rsid w:val="3EE94C60"/>
    <w:rsid w:val="3EEE17F6"/>
    <w:rsid w:val="3EF67B21"/>
    <w:rsid w:val="3EFB5756"/>
    <w:rsid w:val="3F047188"/>
    <w:rsid w:val="3F5A8E09"/>
    <w:rsid w:val="3F5B2424"/>
    <w:rsid w:val="3F881F8B"/>
    <w:rsid w:val="3F883003"/>
    <w:rsid w:val="3F8B23E8"/>
    <w:rsid w:val="3FBA2D4E"/>
    <w:rsid w:val="3FC3425C"/>
    <w:rsid w:val="3FD634AE"/>
    <w:rsid w:val="3FF5BDD7"/>
    <w:rsid w:val="401F7775"/>
    <w:rsid w:val="403472A6"/>
    <w:rsid w:val="40356427"/>
    <w:rsid w:val="406A0B63"/>
    <w:rsid w:val="407147B0"/>
    <w:rsid w:val="4084086B"/>
    <w:rsid w:val="40BE641C"/>
    <w:rsid w:val="40E060CE"/>
    <w:rsid w:val="40FE0F0E"/>
    <w:rsid w:val="411556BF"/>
    <w:rsid w:val="412B6878"/>
    <w:rsid w:val="41400FF5"/>
    <w:rsid w:val="4141018A"/>
    <w:rsid w:val="41546F01"/>
    <w:rsid w:val="415C13E8"/>
    <w:rsid w:val="41A75102"/>
    <w:rsid w:val="41AD5AF0"/>
    <w:rsid w:val="41B163EE"/>
    <w:rsid w:val="41B61EC2"/>
    <w:rsid w:val="41C346B2"/>
    <w:rsid w:val="41CD78FD"/>
    <w:rsid w:val="41E943DC"/>
    <w:rsid w:val="420E37D4"/>
    <w:rsid w:val="42114C71"/>
    <w:rsid w:val="42442951"/>
    <w:rsid w:val="42701998"/>
    <w:rsid w:val="4296424A"/>
    <w:rsid w:val="42D253EB"/>
    <w:rsid w:val="43160952"/>
    <w:rsid w:val="43316516"/>
    <w:rsid w:val="433F0209"/>
    <w:rsid w:val="438C49EB"/>
    <w:rsid w:val="43A45B69"/>
    <w:rsid w:val="43BE6733"/>
    <w:rsid w:val="43CF26EE"/>
    <w:rsid w:val="43D0348F"/>
    <w:rsid w:val="43F90FC3"/>
    <w:rsid w:val="440D1762"/>
    <w:rsid w:val="4420119C"/>
    <w:rsid w:val="442B494D"/>
    <w:rsid w:val="44347BCE"/>
    <w:rsid w:val="44642AC8"/>
    <w:rsid w:val="447F2B72"/>
    <w:rsid w:val="44876AD6"/>
    <w:rsid w:val="44F477E0"/>
    <w:rsid w:val="4509235F"/>
    <w:rsid w:val="45112A8C"/>
    <w:rsid w:val="45306561"/>
    <w:rsid w:val="45364BED"/>
    <w:rsid w:val="45373617"/>
    <w:rsid w:val="454B34BB"/>
    <w:rsid w:val="455D3256"/>
    <w:rsid w:val="4560255E"/>
    <w:rsid w:val="457570F9"/>
    <w:rsid w:val="45894DB5"/>
    <w:rsid w:val="45A52680"/>
    <w:rsid w:val="45ED16CD"/>
    <w:rsid w:val="45F97425"/>
    <w:rsid w:val="45FE7C75"/>
    <w:rsid w:val="46032756"/>
    <w:rsid w:val="461F1167"/>
    <w:rsid w:val="463D5B24"/>
    <w:rsid w:val="463F7901"/>
    <w:rsid w:val="46403CFD"/>
    <w:rsid w:val="466730B2"/>
    <w:rsid w:val="46816D03"/>
    <w:rsid w:val="46CD6213"/>
    <w:rsid w:val="46E203DB"/>
    <w:rsid w:val="46E61930"/>
    <w:rsid w:val="470943A7"/>
    <w:rsid w:val="470A554C"/>
    <w:rsid w:val="47633879"/>
    <w:rsid w:val="476847D4"/>
    <w:rsid w:val="476C56AC"/>
    <w:rsid w:val="47811F51"/>
    <w:rsid w:val="478A34FC"/>
    <w:rsid w:val="47DA0355"/>
    <w:rsid w:val="48382B82"/>
    <w:rsid w:val="48465E58"/>
    <w:rsid w:val="48763D62"/>
    <w:rsid w:val="488121E8"/>
    <w:rsid w:val="488B1E5A"/>
    <w:rsid w:val="48AC3154"/>
    <w:rsid w:val="48E13923"/>
    <w:rsid w:val="48F50678"/>
    <w:rsid w:val="492371DF"/>
    <w:rsid w:val="49377D5E"/>
    <w:rsid w:val="49645005"/>
    <w:rsid w:val="496A16C8"/>
    <w:rsid w:val="497E0E3E"/>
    <w:rsid w:val="498258D2"/>
    <w:rsid w:val="49867CF3"/>
    <w:rsid w:val="49AE76AC"/>
    <w:rsid w:val="49B6093F"/>
    <w:rsid w:val="49C54C67"/>
    <w:rsid w:val="49ED14C9"/>
    <w:rsid w:val="49F04146"/>
    <w:rsid w:val="4A163B39"/>
    <w:rsid w:val="4A4B4117"/>
    <w:rsid w:val="4A6F69D9"/>
    <w:rsid w:val="4A7733D4"/>
    <w:rsid w:val="4A8F1AF8"/>
    <w:rsid w:val="4A956FD1"/>
    <w:rsid w:val="4AAE749D"/>
    <w:rsid w:val="4AFD102D"/>
    <w:rsid w:val="4B1276C2"/>
    <w:rsid w:val="4B160177"/>
    <w:rsid w:val="4B1E63FF"/>
    <w:rsid w:val="4B29570B"/>
    <w:rsid w:val="4B2F7BD1"/>
    <w:rsid w:val="4B3F9EF1"/>
    <w:rsid w:val="4B511159"/>
    <w:rsid w:val="4B62675C"/>
    <w:rsid w:val="4B63653E"/>
    <w:rsid w:val="4B826B89"/>
    <w:rsid w:val="4BAB589A"/>
    <w:rsid w:val="4BB55CC1"/>
    <w:rsid w:val="4BBA6A13"/>
    <w:rsid w:val="4BC4544F"/>
    <w:rsid w:val="4BCC456D"/>
    <w:rsid w:val="4BF42AB7"/>
    <w:rsid w:val="4BF75D76"/>
    <w:rsid w:val="4C21340E"/>
    <w:rsid w:val="4C6C2A4E"/>
    <w:rsid w:val="4C6E456D"/>
    <w:rsid w:val="4C860AA7"/>
    <w:rsid w:val="4C9E26E2"/>
    <w:rsid w:val="4CA71621"/>
    <w:rsid w:val="4CAA362A"/>
    <w:rsid w:val="4CCC67F2"/>
    <w:rsid w:val="4CF605EA"/>
    <w:rsid w:val="4D130337"/>
    <w:rsid w:val="4D1A2C2C"/>
    <w:rsid w:val="4D1F2196"/>
    <w:rsid w:val="4D316DAD"/>
    <w:rsid w:val="4D8C2865"/>
    <w:rsid w:val="4D954FF3"/>
    <w:rsid w:val="4DAC3254"/>
    <w:rsid w:val="4DD67B1E"/>
    <w:rsid w:val="4DE11018"/>
    <w:rsid w:val="4DEC42C6"/>
    <w:rsid w:val="4E052B72"/>
    <w:rsid w:val="4E2D11E7"/>
    <w:rsid w:val="4E50388F"/>
    <w:rsid w:val="4E50525E"/>
    <w:rsid w:val="4E53337B"/>
    <w:rsid w:val="4E622898"/>
    <w:rsid w:val="4E6D1482"/>
    <w:rsid w:val="4E754D9B"/>
    <w:rsid w:val="4E75513B"/>
    <w:rsid w:val="4EA33AA8"/>
    <w:rsid w:val="4EEC30DC"/>
    <w:rsid w:val="4EFB0319"/>
    <w:rsid w:val="4F2001C6"/>
    <w:rsid w:val="4F271630"/>
    <w:rsid w:val="4F5F6BE3"/>
    <w:rsid w:val="4F6A5760"/>
    <w:rsid w:val="4FAC7C39"/>
    <w:rsid w:val="4FE73350"/>
    <w:rsid w:val="501D66E5"/>
    <w:rsid w:val="502D6D01"/>
    <w:rsid w:val="503B11CD"/>
    <w:rsid w:val="504B34E2"/>
    <w:rsid w:val="50510F04"/>
    <w:rsid w:val="50930B36"/>
    <w:rsid w:val="50BF71D9"/>
    <w:rsid w:val="50C555A5"/>
    <w:rsid w:val="50D54FC6"/>
    <w:rsid w:val="50F279B3"/>
    <w:rsid w:val="513933DF"/>
    <w:rsid w:val="514E7348"/>
    <w:rsid w:val="51560B82"/>
    <w:rsid w:val="516302A1"/>
    <w:rsid w:val="518C3A9B"/>
    <w:rsid w:val="51917622"/>
    <w:rsid w:val="51BB5AB3"/>
    <w:rsid w:val="51E8779D"/>
    <w:rsid w:val="51F79A5B"/>
    <w:rsid w:val="51FE6C25"/>
    <w:rsid w:val="521547ED"/>
    <w:rsid w:val="524B6371"/>
    <w:rsid w:val="52514F8A"/>
    <w:rsid w:val="525B1E5A"/>
    <w:rsid w:val="526F151E"/>
    <w:rsid w:val="52715B0A"/>
    <w:rsid w:val="527B3539"/>
    <w:rsid w:val="52C360E1"/>
    <w:rsid w:val="52C54F5B"/>
    <w:rsid w:val="52E43320"/>
    <w:rsid w:val="52EF6909"/>
    <w:rsid w:val="52F7374D"/>
    <w:rsid w:val="52FF6B8A"/>
    <w:rsid w:val="53073494"/>
    <w:rsid w:val="531FD710"/>
    <w:rsid w:val="533715AB"/>
    <w:rsid w:val="535C6277"/>
    <w:rsid w:val="537F26DB"/>
    <w:rsid w:val="539E2F9D"/>
    <w:rsid w:val="53A304F7"/>
    <w:rsid w:val="53DF3EBF"/>
    <w:rsid w:val="53F042CD"/>
    <w:rsid w:val="53F71F5F"/>
    <w:rsid w:val="53FB2FCC"/>
    <w:rsid w:val="540006A2"/>
    <w:rsid w:val="541C1980"/>
    <w:rsid w:val="54417A33"/>
    <w:rsid w:val="544C3B29"/>
    <w:rsid w:val="54586063"/>
    <w:rsid w:val="54883722"/>
    <w:rsid w:val="54B31DB3"/>
    <w:rsid w:val="54C13AA4"/>
    <w:rsid w:val="54CB2782"/>
    <w:rsid w:val="54D72CDC"/>
    <w:rsid w:val="54E83C7B"/>
    <w:rsid w:val="550A4D44"/>
    <w:rsid w:val="5513021A"/>
    <w:rsid w:val="5515492E"/>
    <w:rsid w:val="552D1CC5"/>
    <w:rsid w:val="5541454D"/>
    <w:rsid w:val="555D039D"/>
    <w:rsid w:val="556D2C3D"/>
    <w:rsid w:val="557B0522"/>
    <w:rsid w:val="558D3C56"/>
    <w:rsid w:val="55AE208C"/>
    <w:rsid w:val="55B81122"/>
    <w:rsid w:val="56964F3F"/>
    <w:rsid w:val="569E2F74"/>
    <w:rsid w:val="56AE0348"/>
    <w:rsid w:val="56B4247D"/>
    <w:rsid w:val="56E12A0D"/>
    <w:rsid w:val="56E7351F"/>
    <w:rsid w:val="56E95F4E"/>
    <w:rsid w:val="56ED27BD"/>
    <w:rsid w:val="570A51F1"/>
    <w:rsid w:val="571B749F"/>
    <w:rsid w:val="57236175"/>
    <w:rsid w:val="573965BB"/>
    <w:rsid w:val="574700F9"/>
    <w:rsid w:val="57811C9C"/>
    <w:rsid w:val="57870BFF"/>
    <w:rsid w:val="578F59A4"/>
    <w:rsid w:val="579256F4"/>
    <w:rsid w:val="57A440DC"/>
    <w:rsid w:val="57C154B4"/>
    <w:rsid w:val="57C71C02"/>
    <w:rsid w:val="57D129C2"/>
    <w:rsid w:val="57EE53E1"/>
    <w:rsid w:val="57FF74EE"/>
    <w:rsid w:val="580E18C3"/>
    <w:rsid w:val="582F1F32"/>
    <w:rsid w:val="58360B36"/>
    <w:rsid w:val="584D3406"/>
    <w:rsid w:val="585368C6"/>
    <w:rsid w:val="58824563"/>
    <w:rsid w:val="588406EB"/>
    <w:rsid w:val="58E47B98"/>
    <w:rsid w:val="59013323"/>
    <w:rsid w:val="590616AC"/>
    <w:rsid w:val="590F5DA0"/>
    <w:rsid w:val="59292A0F"/>
    <w:rsid w:val="5941687C"/>
    <w:rsid w:val="59575208"/>
    <w:rsid w:val="59641471"/>
    <w:rsid w:val="59AC0493"/>
    <w:rsid w:val="59B14918"/>
    <w:rsid w:val="59BF5639"/>
    <w:rsid w:val="59E56370"/>
    <w:rsid w:val="59E575A4"/>
    <w:rsid w:val="5A074199"/>
    <w:rsid w:val="5A2D6540"/>
    <w:rsid w:val="5A3813A0"/>
    <w:rsid w:val="5A5301F6"/>
    <w:rsid w:val="5A5F3258"/>
    <w:rsid w:val="5A6900EA"/>
    <w:rsid w:val="5A8C6864"/>
    <w:rsid w:val="5AB0697E"/>
    <w:rsid w:val="5AB6392D"/>
    <w:rsid w:val="5AE416B6"/>
    <w:rsid w:val="5AF9AF42"/>
    <w:rsid w:val="5AFA184B"/>
    <w:rsid w:val="5AFA67EC"/>
    <w:rsid w:val="5B092532"/>
    <w:rsid w:val="5B435715"/>
    <w:rsid w:val="5B496E11"/>
    <w:rsid w:val="5B5B0439"/>
    <w:rsid w:val="5B8504D3"/>
    <w:rsid w:val="5B8D1952"/>
    <w:rsid w:val="5B9B762E"/>
    <w:rsid w:val="5BA6348C"/>
    <w:rsid w:val="5BCE1F3F"/>
    <w:rsid w:val="5BD52A99"/>
    <w:rsid w:val="5BF71393"/>
    <w:rsid w:val="5BFDE09C"/>
    <w:rsid w:val="5C2E5A95"/>
    <w:rsid w:val="5C470A55"/>
    <w:rsid w:val="5C561FCF"/>
    <w:rsid w:val="5C620A91"/>
    <w:rsid w:val="5C643EC4"/>
    <w:rsid w:val="5C695EE9"/>
    <w:rsid w:val="5C750093"/>
    <w:rsid w:val="5C8F32F4"/>
    <w:rsid w:val="5C907E2F"/>
    <w:rsid w:val="5CD537E4"/>
    <w:rsid w:val="5CF15E4C"/>
    <w:rsid w:val="5CF22A16"/>
    <w:rsid w:val="5D1A69F5"/>
    <w:rsid w:val="5D3C7A9D"/>
    <w:rsid w:val="5D490EED"/>
    <w:rsid w:val="5D606E8B"/>
    <w:rsid w:val="5D675A44"/>
    <w:rsid w:val="5D7D3641"/>
    <w:rsid w:val="5D8A6A43"/>
    <w:rsid w:val="5D9562FF"/>
    <w:rsid w:val="5DBF881B"/>
    <w:rsid w:val="5DC911C6"/>
    <w:rsid w:val="5DCA7D15"/>
    <w:rsid w:val="5DE3F695"/>
    <w:rsid w:val="5DF7546F"/>
    <w:rsid w:val="5DFEE5C8"/>
    <w:rsid w:val="5E1A0CA1"/>
    <w:rsid w:val="5E207234"/>
    <w:rsid w:val="5E221379"/>
    <w:rsid w:val="5E2B1C98"/>
    <w:rsid w:val="5E52069F"/>
    <w:rsid w:val="5E663332"/>
    <w:rsid w:val="5E8425FB"/>
    <w:rsid w:val="5E842FB0"/>
    <w:rsid w:val="5E9A2803"/>
    <w:rsid w:val="5EBDAEF9"/>
    <w:rsid w:val="5ED74E21"/>
    <w:rsid w:val="5EF07F79"/>
    <w:rsid w:val="5F304531"/>
    <w:rsid w:val="5F3FB7EF"/>
    <w:rsid w:val="5F455E84"/>
    <w:rsid w:val="5F48187B"/>
    <w:rsid w:val="5F4C0A4B"/>
    <w:rsid w:val="5F5341BF"/>
    <w:rsid w:val="5F537463"/>
    <w:rsid w:val="5F6A2C12"/>
    <w:rsid w:val="5F6B6E06"/>
    <w:rsid w:val="5F7B2640"/>
    <w:rsid w:val="5F7FFBCB"/>
    <w:rsid w:val="5FAA4D2E"/>
    <w:rsid w:val="5FEA7B43"/>
    <w:rsid w:val="5FF92B75"/>
    <w:rsid w:val="600018FA"/>
    <w:rsid w:val="600F0A43"/>
    <w:rsid w:val="601A77BE"/>
    <w:rsid w:val="602D319E"/>
    <w:rsid w:val="60341E83"/>
    <w:rsid w:val="603C3784"/>
    <w:rsid w:val="60514FE9"/>
    <w:rsid w:val="607D37A6"/>
    <w:rsid w:val="60832C4E"/>
    <w:rsid w:val="610D0DD2"/>
    <w:rsid w:val="6139659A"/>
    <w:rsid w:val="613C4C63"/>
    <w:rsid w:val="617E5C61"/>
    <w:rsid w:val="619C29D7"/>
    <w:rsid w:val="61A16D74"/>
    <w:rsid w:val="61AA6A05"/>
    <w:rsid w:val="62092E18"/>
    <w:rsid w:val="62686A0A"/>
    <w:rsid w:val="626C6487"/>
    <w:rsid w:val="62833E64"/>
    <w:rsid w:val="62A1621D"/>
    <w:rsid w:val="62C05BCC"/>
    <w:rsid w:val="62F14BDD"/>
    <w:rsid w:val="63101A07"/>
    <w:rsid w:val="63275C4B"/>
    <w:rsid w:val="632B56CB"/>
    <w:rsid w:val="633F460D"/>
    <w:rsid w:val="63543F8E"/>
    <w:rsid w:val="6356251D"/>
    <w:rsid w:val="636B05B3"/>
    <w:rsid w:val="6378008B"/>
    <w:rsid w:val="639615DF"/>
    <w:rsid w:val="639C3F43"/>
    <w:rsid w:val="63B649D5"/>
    <w:rsid w:val="63C31973"/>
    <w:rsid w:val="63D17BA5"/>
    <w:rsid w:val="63E37DC4"/>
    <w:rsid w:val="641E33BE"/>
    <w:rsid w:val="643136C5"/>
    <w:rsid w:val="643F1A11"/>
    <w:rsid w:val="643F1D82"/>
    <w:rsid w:val="644873E4"/>
    <w:rsid w:val="64590086"/>
    <w:rsid w:val="645F2A7F"/>
    <w:rsid w:val="646C5FC8"/>
    <w:rsid w:val="648766DA"/>
    <w:rsid w:val="64CE5A51"/>
    <w:rsid w:val="650A45A2"/>
    <w:rsid w:val="651F2F0B"/>
    <w:rsid w:val="6522384C"/>
    <w:rsid w:val="65424541"/>
    <w:rsid w:val="6544124E"/>
    <w:rsid w:val="65482DCB"/>
    <w:rsid w:val="655D24CE"/>
    <w:rsid w:val="65760748"/>
    <w:rsid w:val="657F14F5"/>
    <w:rsid w:val="65817020"/>
    <w:rsid w:val="659E28A6"/>
    <w:rsid w:val="65B62118"/>
    <w:rsid w:val="65BD672B"/>
    <w:rsid w:val="65E86101"/>
    <w:rsid w:val="660D2ED6"/>
    <w:rsid w:val="66104941"/>
    <w:rsid w:val="66160CC9"/>
    <w:rsid w:val="663F32AC"/>
    <w:rsid w:val="665E3975"/>
    <w:rsid w:val="665F74AA"/>
    <w:rsid w:val="66626366"/>
    <w:rsid w:val="668A7D4F"/>
    <w:rsid w:val="66A8316D"/>
    <w:rsid w:val="66D165FA"/>
    <w:rsid w:val="66D46917"/>
    <w:rsid w:val="66E02FB4"/>
    <w:rsid w:val="66E20346"/>
    <w:rsid w:val="671B1FBC"/>
    <w:rsid w:val="67380D7E"/>
    <w:rsid w:val="67883009"/>
    <w:rsid w:val="67FE57AD"/>
    <w:rsid w:val="68252ECE"/>
    <w:rsid w:val="682E3B72"/>
    <w:rsid w:val="6836782E"/>
    <w:rsid w:val="6845551D"/>
    <w:rsid w:val="68486171"/>
    <w:rsid w:val="68676699"/>
    <w:rsid w:val="687A2C84"/>
    <w:rsid w:val="687E1CF1"/>
    <w:rsid w:val="68840008"/>
    <w:rsid w:val="68840BC3"/>
    <w:rsid w:val="6897117D"/>
    <w:rsid w:val="68990030"/>
    <w:rsid w:val="689B6EBF"/>
    <w:rsid w:val="68A044D6"/>
    <w:rsid w:val="68BC70BF"/>
    <w:rsid w:val="68CC5532"/>
    <w:rsid w:val="68FD3910"/>
    <w:rsid w:val="691F42E3"/>
    <w:rsid w:val="692A7156"/>
    <w:rsid w:val="693E5A9D"/>
    <w:rsid w:val="69535174"/>
    <w:rsid w:val="69630BAF"/>
    <w:rsid w:val="696D5305"/>
    <w:rsid w:val="698724E9"/>
    <w:rsid w:val="69A2427D"/>
    <w:rsid w:val="69A63DE7"/>
    <w:rsid w:val="69AE716A"/>
    <w:rsid w:val="69CC0C24"/>
    <w:rsid w:val="6A2F736D"/>
    <w:rsid w:val="6A4C1599"/>
    <w:rsid w:val="6A4F4F85"/>
    <w:rsid w:val="6A571C14"/>
    <w:rsid w:val="6A70350E"/>
    <w:rsid w:val="6AAA163C"/>
    <w:rsid w:val="6AC568B6"/>
    <w:rsid w:val="6B101E52"/>
    <w:rsid w:val="6B7A5E4B"/>
    <w:rsid w:val="6BA23C35"/>
    <w:rsid w:val="6BA67933"/>
    <w:rsid w:val="6BBE1462"/>
    <w:rsid w:val="6BCA0155"/>
    <w:rsid w:val="6BCE1FE4"/>
    <w:rsid w:val="6BCE318F"/>
    <w:rsid w:val="6BDD0454"/>
    <w:rsid w:val="6BEB7221"/>
    <w:rsid w:val="6C0D2258"/>
    <w:rsid w:val="6C1C70FE"/>
    <w:rsid w:val="6C253A29"/>
    <w:rsid w:val="6C547AD7"/>
    <w:rsid w:val="6C865790"/>
    <w:rsid w:val="6CA97AC2"/>
    <w:rsid w:val="6CAB564F"/>
    <w:rsid w:val="6CCC6333"/>
    <w:rsid w:val="6CE8644B"/>
    <w:rsid w:val="6CFF5543"/>
    <w:rsid w:val="6CFF7894"/>
    <w:rsid w:val="6D1A75A3"/>
    <w:rsid w:val="6D201289"/>
    <w:rsid w:val="6D6A05F7"/>
    <w:rsid w:val="6D737F38"/>
    <w:rsid w:val="6D866028"/>
    <w:rsid w:val="6DA94B05"/>
    <w:rsid w:val="6DDBF6E1"/>
    <w:rsid w:val="6DEF283D"/>
    <w:rsid w:val="6DF57072"/>
    <w:rsid w:val="6E1E2840"/>
    <w:rsid w:val="6E301E58"/>
    <w:rsid w:val="6E3F10E3"/>
    <w:rsid w:val="6E7D9B95"/>
    <w:rsid w:val="6EBA104E"/>
    <w:rsid w:val="6EBB2D8A"/>
    <w:rsid w:val="6EC80ED2"/>
    <w:rsid w:val="6ECF4428"/>
    <w:rsid w:val="6EE107F8"/>
    <w:rsid w:val="6EEF2A97"/>
    <w:rsid w:val="6EF53F10"/>
    <w:rsid w:val="6F0C1038"/>
    <w:rsid w:val="6F26161D"/>
    <w:rsid w:val="6F3AFB83"/>
    <w:rsid w:val="6F5002D8"/>
    <w:rsid w:val="6F5371CE"/>
    <w:rsid w:val="6F767FB4"/>
    <w:rsid w:val="6F8C16D2"/>
    <w:rsid w:val="6F940393"/>
    <w:rsid w:val="6FAD2CDD"/>
    <w:rsid w:val="6FB6698C"/>
    <w:rsid w:val="6FB901DA"/>
    <w:rsid w:val="6FBE64CD"/>
    <w:rsid w:val="6FE7E8A5"/>
    <w:rsid w:val="6FF175F4"/>
    <w:rsid w:val="6FF687AA"/>
    <w:rsid w:val="6FFC241C"/>
    <w:rsid w:val="6FFF7AB9"/>
    <w:rsid w:val="6FFF959F"/>
    <w:rsid w:val="70122DD4"/>
    <w:rsid w:val="7062170A"/>
    <w:rsid w:val="7091382B"/>
    <w:rsid w:val="70987397"/>
    <w:rsid w:val="70C745CA"/>
    <w:rsid w:val="70E27848"/>
    <w:rsid w:val="70E4517B"/>
    <w:rsid w:val="710F22BA"/>
    <w:rsid w:val="71155E96"/>
    <w:rsid w:val="71162046"/>
    <w:rsid w:val="712B113C"/>
    <w:rsid w:val="71332141"/>
    <w:rsid w:val="713A4D9B"/>
    <w:rsid w:val="715E1B10"/>
    <w:rsid w:val="71610659"/>
    <w:rsid w:val="71856D78"/>
    <w:rsid w:val="719C7F62"/>
    <w:rsid w:val="71A37BA0"/>
    <w:rsid w:val="71B82A10"/>
    <w:rsid w:val="71DB00D9"/>
    <w:rsid w:val="71E65973"/>
    <w:rsid w:val="71F958E6"/>
    <w:rsid w:val="72404633"/>
    <w:rsid w:val="726D13A7"/>
    <w:rsid w:val="728E5504"/>
    <w:rsid w:val="72C907A6"/>
    <w:rsid w:val="72C91945"/>
    <w:rsid w:val="72D82A40"/>
    <w:rsid w:val="72E476B5"/>
    <w:rsid w:val="72E917A5"/>
    <w:rsid w:val="730F7ED9"/>
    <w:rsid w:val="73171838"/>
    <w:rsid w:val="731E4C4A"/>
    <w:rsid w:val="733D74E6"/>
    <w:rsid w:val="736E0D89"/>
    <w:rsid w:val="7370391B"/>
    <w:rsid w:val="739746E2"/>
    <w:rsid w:val="73A47B6E"/>
    <w:rsid w:val="73B0475A"/>
    <w:rsid w:val="73B87351"/>
    <w:rsid w:val="73CB03FF"/>
    <w:rsid w:val="73EA2B7A"/>
    <w:rsid w:val="73EC16FA"/>
    <w:rsid w:val="73F9454F"/>
    <w:rsid w:val="740718AD"/>
    <w:rsid w:val="740B2A1F"/>
    <w:rsid w:val="740B4B78"/>
    <w:rsid w:val="743A16C6"/>
    <w:rsid w:val="74564824"/>
    <w:rsid w:val="74AA6058"/>
    <w:rsid w:val="74EB0394"/>
    <w:rsid w:val="74F45087"/>
    <w:rsid w:val="74F57957"/>
    <w:rsid w:val="74F77F22"/>
    <w:rsid w:val="75101B77"/>
    <w:rsid w:val="755314B4"/>
    <w:rsid w:val="75611D28"/>
    <w:rsid w:val="756248AA"/>
    <w:rsid w:val="756E3266"/>
    <w:rsid w:val="757108FA"/>
    <w:rsid w:val="757A4883"/>
    <w:rsid w:val="75A062A6"/>
    <w:rsid w:val="75A153E9"/>
    <w:rsid w:val="75AB009F"/>
    <w:rsid w:val="75AB1740"/>
    <w:rsid w:val="75DBD069"/>
    <w:rsid w:val="75DC23CD"/>
    <w:rsid w:val="75E52821"/>
    <w:rsid w:val="75EB1301"/>
    <w:rsid w:val="75FB71EF"/>
    <w:rsid w:val="75FF2578"/>
    <w:rsid w:val="760E2A9C"/>
    <w:rsid w:val="76125AC6"/>
    <w:rsid w:val="7621595F"/>
    <w:rsid w:val="764513EC"/>
    <w:rsid w:val="76544B51"/>
    <w:rsid w:val="7659766D"/>
    <w:rsid w:val="7668568C"/>
    <w:rsid w:val="767305C9"/>
    <w:rsid w:val="76B35026"/>
    <w:rsid w:val="76D37824"/>
    <w:rsid w:val="76E5846A"/>
    <w:rsid w:val="76E83B5A"/>
    <w:rsid w:val="7715CA8F"/>
    <w:rsid w:val="77424233"/>
    <w:rsid w:val="77663B9F"/>
    <w:rsid w:val="77812FC3"/>
    <w:rsid w:val="779106B6"/>
    <w:rsid w:val="77A03B43"/>
    <w:rsid w:val="77C562EE"/>
    <w:rsid w:val="77CD4ADA"/>
    <w:rsid w:val="77D9530E"/>
    <w:rsid w:val="77D96D5F"/>
    <w:rsid w:val="77EEBA8E"/>
    <w:rsid w:val="77FF195C"/>
    <w:rsid w:val="780E46C8"/>
    <w:rsid w:val="7832310D"/>
    <w:rsid w:val="78542BE7"/>
    <w:rsid w:val="78632AB8"/>
    <w:rsid w:val="786D168F"/>
    <w:rsid w:val="78743289"/>
    <w:rsid w:val="7879209D"/>
    <w:rsid w:val="787B752A"/>
    <w:rsid w:val="788D60F9"/>
    <w:rsid w:val="78C12110"/>
    <w:rsid w:val="78E24242"/>
    <w:rsid w:val="79245504"/>
    <w:rsid w:val="792E3BEC"/>
    <w:rsid w:val="793E2580"/>
    <w:rsid w:val="795419EC"/>
    <w:rsid w:val="7972545C"/>
    <w:rsid w:val="79825363"/>
    <w:rsid w:val="799D1E04"/>
    <w:rsid w:val="799F859C"/>
    <w:rsid w:val="79B65F03"/>
    <w:rsid w:val="79C3307B"/>
    <w:rsid w:val="79EF4773"/>
    <w:rsid w:val="79F30661"/>
    <w:rsid w:val="7A1C431F"/>
    <w:rsid w:val="7A2E4C88"/>
    <w:rsid w:val="7A454EDD"/>
    <w:rsid w:val="7A4822CB"/>
    <w:rsid w:val="7A4945CC"/>
    <w:rsid w:val="7A4B0160"/>
    <w:rsid w:val="7A73617B"/>
    <w:rsid w:val="7A864AF2"/>
    <w:rsid w:val="7A8F3C27"/>
    <w:rsid w:val="7A915976"/>
    <w:rsid w:val="7A9F2AC2"/>
    <w:rsid w:val="7AAD483C"/>
    <w:rsid w:val="7AB0A866"/>
    <w:rsid w:val="7ADF4A6D"/>
    <w:rsid w:val="7AED0FEF"/>
    <w:rsid w:val="7AFAF467"/>
    <w:rsid w:val="7B4519B8"/>
    <w:rsid w:val="7B476545"/>
    <w:rsid w:val="7B6E527D"/>
    <w:rsid w:val="7B77567C"/>
    <w:rsid w:val="7B87149A"/>
    <w:rsid w:val="7BBBA466"/>
    <w:rsid w:val="7BE00AE2"/>
    <w:rsid w:val="7BEFF9C2"/>
    <w:rsid w:val="7BF6C518"/>
    <w:rsid w:val="7BFF2267"/>
    <w:rsid w:val="7C1F598F"/>
    <w:rsid w:val="7C213B28"/>
    <w:rsid w:val="7C5449C6"/>
    <w:rsid w:val="7C72188D"/>
    <w:rsid w:val="7C762668"/>
    <w:rsid w:val="7CC61BD9"/>
    <w:rsid w:val="7CD351A6"/>
    <w:rsid w:val="7CDB3F36"/>
    <w:rsid w:val="7CEF4ED1"/>
    <w:rsid w:val="7D0F532E"/>
    <w:rsid w:val="7D158663"/>
    <w:rsid w:val="7D1B2929"/>
    <w:rsid w:val="7D23728E"/>
    <w:rsid w:val="7D2A56DE"/>
    <w:rsid w:val="7D2D14DC"/>
    <w:rsid w:val="7D3408F7"/>
    <w:rsid w:val="7D442F62"/>
    <w:rsid w:val="7D785D87"/>
    <w:rsid w:val="7DBE27B7"/>
    <w:rsid w:val="7DDA4B62"/>
    <w:rsid w:val="7DFF0D9F"/>
    <w:rsid w:val="7E012D64"/>
    <w:rsid w:val="7E0E0613"/>
    <w:rsid w:val="7E1921A9"/>
    <w:rsid w:val="7E1C571C"/>
    <w:rsid w:val="7E2C17D9"/>
    <w:rsid w:val="7E2F4328"/>
    <w:rsid w:val="7E655B4E"/>
    <w:rsid w:val="7E691279"/>
    <w:rsid w:val="7E943558"/>
    <w:rsid w:val="7EEC4E94"/>
    <w:rsid w:val="7EFD3FE3"/>
    <w:rsid w:val="7EFE1BE1"/>
    <w:rsid w:val="7EFF2489"/>
    <w:rsid w:val="7F3B6606"/>
    <w:rsid w:val="7F3D5A1F"/>
    <w:rsid w:val="7F5F2D59"/>
    <w:rsid w:val="7F6B48D9"/>
    <w:rsid w:val="7F7011A3"/>
    <w:rsid w:val="7F747781"/>
    <w:rsid w:val="7F9F0FEB"/>
    <w:rsid w:val="7FBF8E61"/>
    <w:rsid w:val="7FD016AF"/>
    <w:rsid w:val="7FD2BBE0"/>
    <w:rsid w:val="7FD36AE7"/>
    <w:rsid w:val="7FD7F10B"/>
    <w:rsid w:val="7FDD7EF8"/>
    <w:rsid w:val="7FDFB290"/>
    <w:rsid w:val="7FF6B49D"/>
    <w:rsid w:val="7FF730FA"/>
    <w:rsid w:val="7FF8501F"/>
    <w:rsid w:val="7FFB0012"/>
    <w:rsid w:val="7FFCA4CB"/>
    <w:rsid w:val="7FFEA223"/>
    <w:rsid w:val="7FFEAB0B"/>
    <w:rsid w:val="7FFF6430"/>
    <w:rsid w:val="7FFF837B"/>
    <w:rsid w:val="865F39AA"/>
    <w:rsid w:val="879FE5E7"/>
    <w:rsid w:val="93DEC660"/>
    <w:rsid w:val="9472BCDB"/>
    <w:rsid w:val="9F5FE889"/>
    <w:rsid w:val="A1BFB552"/>
    <w:rsid w:val="A5F30A82"/>
    <w:rsid w:val="A9FF3E17"/>
    <w:rsid w:val="ABFF5E59"/>
    <w:rsid w:val="AD170A9A"/>
    <w:rsid w:val="ADDFB64D"/>
    <w:rsid w:val="AF2F1CF7"/>
    <w:rsid w:val="AFE6DADB"/>
    <w:rsid w:val="B39AD362"/>
    <w:rsid w:val="B593C6B4"/>
    <w:rsid w:val="B5D774B4"/>
    <w:rsid w:val="B73BF10D"/>
    <w:rsid w:val="B7EE3651"/>
    <w:rsid w:val="B7F30EBF"/>
    <w:rsid w:val="B9BFE7EC"/>
    <w:rsid w:val="BBF5B050"/>
    <w:rsid w:val="BDC18E26"/>
    <w:rsid w:val="BE863DEC"/>
    <w:rsid w:val="BEFFDDBC"/>
    <w:rsid w:val="BF591E78"/>
    <w:rsid w:val="BFFDA4F9"/>
    <w:rsid w:val="CF3A7BA4"/>
    <w:rsid w:val="CFFF45F8"/>
    <w:rsid w:val="D0E350B3"/>
    <w:rsid w:val="D7E320C4"/>
    <w:rsid w:val="D7F0BE39"/>
    <w:rsid w:val="D9F32BA8"/>
    <w:rsid w:val="DBFF233D"/>
    <w:rsid w:val="DCEDF8A9"/>
    <w:rsid w:val="DD5EFD16"/>
    <w:rsid w:val="DDDDDB6F"/>
    <w:rsid w:val="DDDFE7E9"/>
    <w:rsid w:val="DDEF4790"/>
    <w:rsid w:val="DE3E03BD"/>
    <w:rsid w:val="DEEB8B0E"/>
    <w:rsid w:val="DF3B50E1"/>
    <w:rsid w:val="DF6F7454"/>
    <w:rsid w:val="DFBF43C3"/>
    <w:rsid w:val="DFFDDF6F"/>
    <w:rsid w:val="DFFE4A36"/>
    <w:rsid w:val="DFFFCBE6"/>
    <w:rsid w:val="DFFFCF5D"/>
    <w:rsid w:val="E2CF0239"/>
    <w:rsid w:val="E3BD9D70"/>
    <w:rsid w:val="E3BF1916"/>
    <w:rsid w:val="E3FFD74C"/>
    <w:rsid w:val="E7F7DEA2"/>
    <w:rsid w:val="E7FDF127"/>
    <w:rsid w:val="E9FE5C77"/>
    <w:rsid w:val="EAFE3239"/>
    <w:rsid w:val="EBDE4429"/>
    <w:rsid w:val="ED4FB877"/>
    <w:rsid w:val="EDCFB25F"/>
    <w:rsid w:val="EF6E8D89"/>
    <w:rsid w:val="EF7DC91A"/>
    <w:rsid w:val="EFBFFA18"/>
    <w:rsid w:val="EFF58230"/>
    <w:rsid w:val="EFFF5F5F"/>
    <w:rsid w:val="EFFFE9EF"/>
    <w:rsid w:val="F2AA9E4C"/>
    <w:rsid w:val="F57B61B1"/>
    <w:rsid w:val="F5B7CCDE"/>
    <w:rsid w:val="F64FF73F"/>
    <w:rsid w:val="F6DFFBA2"/>
    <w:rsid w:val="F7B35EFE"/>
    <w:rsid w:val="F7DFFF8B"/>
    <w:rsid w:val="F7EB6FF2"/>
    <w:rsid w:val="F7F6C646"/>
    <w:rsid w:val="F8D79187"/>
    <w:rsid w:val="F99F6946"/>
    <w:rsid w:val="F9FF4BB0"/>
    <w:rsid w:val="FAA62471"/>
    <w:rsid w:val="FB650384"/>
    <w:rsid w:val="FB6ADDF0"/>
    <w:rsid w:val="FB6BD917"/>
    <w:rsid w:val="FBBFC670"/>
    <w:rsid w:val="FBEBAEEC"/>
    <w:rsid w:val="FBF61F79"/>
    <w:rsid w:val="FCB5C062"/>
    <w:rsid w:val="FCDE913D"/>
    <w:rsid w:val="FCFBB822"/>
    <w:rsid w:val="FCFD5B0D"/>
    <w:rsid w:val="FD3D0985"/>
    <w:rsid w:val="FD6E59FF"/>
    <w:rsid w:val="FDEF4534"/>
    <w:rsid w:val="FDEFC68F"/>
    <w:rsid w:val="FE76032B"/>
    <w:rsid w:val="FE9E17A6"/>
    <w:rsid w:val="FEB9C087"/>
    <w:rsid w:val="FEBF652C"/>
    <w:rsid w:val="FEFD9188"/>
    <w:rsid w:val="FF3B1E58"/>
    <w:rsid w:val="FF3D658B"/>
    <w:rsid w:val="FF6BB3DA"/>
    <w:rsid w:val="FF9D0F29"/>
    <w:rsid w:val="FFAB61AB"/>
    <w:rsid w:val="FFAEBC80"/>
    <w:rsid w:val="FFCD0F93"/>
    <w:rsid w:val="FFCFF15E"/>
    <w:rsid w:val="FFDF2375"/>
    <w:rsid w:val="FFDF3A8A"/>
    <w:rsid w:val="FFEE700A"/>
    <w:rsid w:val="FFEEA86E"/>
    <w:rsid w:val="FFEEF248"/>
    <w:rsid w:val="FFF32EC4"/>
    <w:rsid w:val="FFFB930F"/>
    <w:rsid w:val="FFFFA7A4"/>
    <w:rsid w:val="FFFFD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left="420" w:leftChars="200" w:firstLine="420" w:firstLineChars="200"/>
    </w:pPr>
    <w:rPr>
      <w:rFonts w:ascii="Times New Roman" w:eastAsia="宋体"/>
      <w:kern w:val="2"/>
      <w:sz w:val="21"/>
      <w:szCs w:val="24"/>
    </w:rPr>
  </w:style>
  <w:style w:type="paragraph" w:styleId="3">
    <w:name w:val="Body Text Indent"/>
    <w:basedOn w:val="1"/>
    <w:next w:val="2"/>
    <w:qFormat/>
    <w:uiPriority w:val="0"/>
    <w:pPr>
      <w:spacing w:line="200" w:lineRule="exact"/>
      <w:ind w:firstLine="301"/>
    </w:pPr>
    <w:rPr>
      <w:rFonts w:ascii="宋体" w:hAnsi="Courier New"/>
      <w:spacing w:val="-4"/>
      <w:sz w:val="18"/>
      <w:szCs w:val="20"/>
    </w:rPr>
  </w:style>
  <w:style w:type="paragraph" w:styleId="5">
    <w:name w:val="Normal Indent"/>
    <w:basedOn w:val="1"/>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6">
    <w:name w:val="annotation text"/>
    <w:basedOn w:val="1"/>
    <w:link w:val="30"/>
    <w:qFormat/>
    <w:uiPriority w:val="0"/>
    <w:pPr>
      <w:jc w:val="left"/>
    </w:pPr>
    <w:rPr>
      <w:rFonts w:asciiTheme="minorHAnsi" w:hAnsiTheme="minorHAnsi" w:eastAsiaTheme="minorEastAsia" w:cstheme="minorBidi"/>
    </w:rPr>
  </w:style>
  <w:style w:type="paragraph" w:styleId="7">
    <w:name w:val="Body Text"/>
    <w:basedOn w:val="1"/>
    <w:next w:val="1"/>
    <w:unhideWhenUsed/>
    <w:qFormat/>
    <w:uiPriority w:val="0"/>
    <w:pPr>
      <w:spacing w:after="120"/>
    </w:pPr>
  </w:style>
  <w:style w:type="paragraph" w:styleId="8">
    <w:name w:val="Plain Text"/>
    <w:basedOn w:val="1"/>
    <w:qFormat/>
    <w:uiPriority w:val="0"/>
  </w:style>
  <w:style w:type="paragraph" w:styleId="9">
    <w:name w:val="Date"/>
    <w:basedOn w:val="1"/>
    <w:next w:val="1"/>
    <w:link w:val="45"/>
    <w:qFormat/>
    <w:uiPriority w:val="0"/>
    <w:rPr>
      <w:rFonts w:ascii="宋体" w:hAnsi="宋体" w:eastAsia="楷体_GB2312"/>
      <w:sz w:val="24"/>
      <w:szCs w:val="20"/>
    </w:rPr>
  </w:style>
  <w:style w:type="paragraph" w:styleId="10">
    <w:name w:val="Balloon Text"/>
    <w:basedOn w:val="1"/>
    <w:link w:val="25"/>
    <w:qFormat/>
    <w:uiPriority w:val="99"/>
    <w:rPr>
      <w:sz w:val="18"/>
      <w:szCs w:val="18"/>
      <w:lang w:val="zh-CN"/>
    </w:rPr>
  </w:style>
  <w:style w:type="paragraph" w:styleId="11">
    <w:name w:val="footer"/>
    <w:basedOn w:val="1"/>
    <w:link w:val="31"/>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8"/>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Body Text 2"/>
    <w:basedOn w:val="1"/>
    <w:qFormat/>
    <w:uiPriority w:val="0"/>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Title"/>
    <w:basedOn w:val="1"/>
    <w:next w:val="1"/>
    <w:qFormat/>
    <w:uiPriority w:val="0"/>
    <w:pPr>
      <w:spacing w:before="240" w:after="60"/>
      <w:jc w:val="center"/>
      <w:outlineLvl w:val="0"/>
    </w:pPr>
    <w:rPr>
      <w:rFonts w:ascii="Cambria" w:hAnsi="Cambria" w:cs="Times New Roman"/>
      <w:b/>
      <w:bCs/>
      <w:sz w:val="44"/>
      <w:szCs w:val="32"/>
    </w:rPr>
  </w:style>
  <w:style w:type="paragraph" w:styleId="16">
    <w:name w:val="annotation subject"/>
    <w:basedOn w:val="6"/>
    <w:next w:val="6"/>
    <w:link w:val="27"/>
    <w:qFormat/>
    <w:uiPriority w:val="99"/>
    <w:rPr>
      <w:b/>
      <w:bCs/>
    </w:rPr>
  </w:style>
  <w:style w:type="table" w:styleId="18">
    <w:name w:val="Table Grid"/>
    <w:basedOn w:val="17"/>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character" w:styleId="21">
    <w:name w:val="page number"/>
    <w:qFormat/>
    <w:uiPriority w:val="99"/>
  </w:style>
  <w:style w:type="character" w:styleId="22">
    <w:name w:val="FollowedHyperlink"/>
    <w:unhideWhenUsed/>
    <w:qFormat/>
    <w:uiPriority w:val="99"/>
    <w:rPr>
      <w:color w:val="800080"/>
      <w:u w:val="single"/>
    </w:rPr>
  </w:style>
  <w:style w:type="character" w:styleId="23">
    <w:name w:val="Hyperlink"/>
    <w:unhideWhenUsed/>
    <w:qFormat/>
    <w:uiPriority w:val="0"/>
    <w:rPr>
      <w:color w:val="0000FF"/>
      <w:u w:val="single"/>
    </w:rPr>
  </w:style>
  <w:style w:type="character" w:styleId="24">
    <w:name w:val="annotation reference"/>
    <w:qFormat/>
    <w:uiPriority w:val="0"/>
    <w:rPr>
      <w:sz w:val="21"/>
      <w:szCs w:val="21"/>
    </w:rPr>
  </w:style>
  <w:style w:type="character" w:customStyle="1" w:styleId="25">
    <w:name w:val="批注框文本 Char"/>
    <w:basedOn w:val="19"/>
    <w:link w:val="10"/>
    <w:qFormat/>
    <w:uiPriority w:val="99"/>
    <w:rPr>
      <w:rFonts w:ascii="Times New Roman" w:hAnsi="Times New Roman" w:eastAsia="宋体" w:cs="Times New Roman"/>
      <w:sz w:val="18"/>
      <w:szCs w:val="18"/>
      <w:lang w:val="zh-CN" w:eastAsia="zh-CN"/>
    </w:rPr>
  </w:style>
  <w:style w:type="character" w:customStyle="1" w:styleId="26">
    <w:name w:val="页眉 Char1"/>
    <w:qFormat/>
    <w:uiPriority w:val="99"/>
    <w:rPr>
      <w:kern w:val="2"/>
      <w:sz w:val="18"/>
      <w:szCs w:val="18"/>
    </w:rPr>
  </w:style>
  <w:style w:type="character" w:customStyle="1" w:styleId="27">
    <w:name w:val="批注主题 Char"/>
    <w:link w:val="16"/>
    <w:qFormat/>
    <w:uiPriority w:val="99"/>
    <w:rPr>
      <w:b/>
      <w:bCs/>
      <w:szCs w:val="24"/>
    </w:rPr>
  </w:style>
  <w:style w:type="character" w:customStyle="1" w:styleId="28">
    <w:name w:val="页眉 Char"/>
    <w:link w:val="12"/>
    <w:qFormat/>
    <w:locked/>
    <w:uiPriority w:val="99"/>
    <w:rPr>
      <w:sz w:val="18"/>
      <w:szCs w:val="18"/>
    </w:rPr>
  </w:style>
  <w:style w:type="character" w:customStyle="1" w:styleId="29">
    <w:name w:val="页脚 Char1"/>
    <w:qFormat/>
    <w:uiPriority w:val="99"/>
    <w:rPr>
      <w:kern w:val="2"/>
      <w:sz w:val="18"/>
      <w:szCs w:val="18"/>
    </w:rPr>
  </w:style>
  <w:style w:type="character" w:customStyle="1" w:styleId="30">
    <w:name w:val="批注文字 Char"/>
    <w:link w:val="6"/>
    <w:qFormat/>
    <w:uiPriority w:val="99"/>
    <w:rPr>
      <w:szCs w:val="24"/>
    </w:rPr>
  </w:style>
  <w:style w:type="character" w:customStyle="1" w:styleId="31">
    <w:name w:val="页脚 Char"/>
    <w:link w:val="11"/>
    <w:qFormat/>
    <w:locked/>
    <w:uiPriority w:val="99"/>
    <w:rPr>
      <w:sz w:val="18"/>
      <w:szCs w:val="18"/>
    </w:rPr>
  </w:style>
  <w:style w:type="character" w:customStyle="1" w:styleId="32">
    <w:name w:val="批注框文本 Char1"/>
    <w:semiHidden/>
    <w:qFormat/>
    <w:uiPriority w:val="99"/>
    <w:rPr>
      <w:rFonts w:ascii="Calibri" w:hAnsi="Calibri" w:eastAsia="宋体" w:cs="Times New Roman"/>
      <w:sz w:val="18"/>
      <w:szCs w:val="18"/>
    </w:rPr>
  </w:style>
  <w:style w:type="character" w:customStyle="1" w:styleId="33">
    <w:name w:val="页眉 Char2"/>
    <w:basedOn w:val="19"/>
    <w:semiHidden/>
    <w:qFormat/>
    <w:uiPriority w:val="99"/>
    <w:rPr>
      <w:rFonts w:ascii="Times New Roman" w:hAnsi="Times New Roman" w:eastAsia="宋体" w:cs="Times New Roman"/>
      <w:sz w:val="18"/>
      <w:szCs w:val="18"/>
    </w:rPr>
  </w:style>
  <w:style w:type="character" w:customStyle="1" w:styleId="34">
    <w:name w:val="页眉 字符"/>
    <w:qFormat/>
    <w:uiPriority w:val="99"/>
    <w:rPr>
      <w:kern w:val="2"/>
      <w:sz w:val="18"/>
      <w:szCs w:val="18"/>
    </w:rPr>
  </w:style>
  <w:style w:type="paragraph" w:customStyle="1" w:styleId="35">
    <w:name w:val="列出段落1"/>
    <w:basedOn w:val="1"/>
    <w:qFormat/>
    <w:uiPriority w:val="99"/>
    <w:pPr>
      <w:ind w:firstLine="420" w:firstLineChars="200"/>
    </w:pPr>
    <w:rPr>
      <w:rFonts w:ascii="Calibri" w:hAnsi="Calibri" w:cs="Calibri"/>
      <w:szCs w:val="21"/>
    </w:rPr>
  </w:style>
  <w:style w:type="character" w:customStyle="1" w:styleId="36">
    <w:name w:val="页脚 Char2"/>
    <w:basedOn w:val="19"/>
    <w:semiHidden/>
    <w:qFormat/>
    <w:uiPriority w:val="99"/>
    <w:rPr>
      <w:rFonts w:ascii="Times New Roman" w:hAnsi="Times New Roman" w:eastAsia="宋体" w:cs="Times New Roman"/>
      <w:sz w:val="18"/>
      <w:szCs w:val="18"/>
    </w:rPr>
  </w:style>
  <w:style w:type="character" w:customStyle="1" w:styleId="37">
    <w:name w:val="页脚 字符"/>
    <w:qFormat/>
    <w:uiPriority w:val="99"/>
    <w:rPr>
      <w:kern w:val="2"/>
      <w:sz w:val="18"/>
      <w:szCs w:val="18"/>
    </w:rPr>
  </w:style>
  <w:style w:type="paragraph" w:styleId="38">
    <w:name w:val="List Paragraph"/>
    <w:basedOn w:val="1"/>
    <w:qFormat/>
    <w:uiPriority w:val="34"/>
    <w:pPr>
      <w:ind w:firstLine="420" w:firstLineChars="200"/>
    </w:pPr>
    <w:rPr>
      <w:rFonts w:ascii="Calibri" w:hAnsi="Calibri"/>
      <w:szCs w:val="22"/>
    </w:rPr>
  </w:style>
  <w:style w:type="character" w:customStyle="1" w:styleId="39">
    <w:name w:val="批注文字 Char1"/>
    <w:basedOn w:val="19"/>
    <w:semiHidden/>
    <w:qFormat/>
    <w:uiPriority w:val="99"/>
    <w:rPr>
      <w:rFonts w:ascii="Times New Roman" w:hAnsi="Times New Roman" w:eastAsia="宋体" w:cs="Times New Roman"/>
      <w:szCs w:val="24"/>
    </w:rPr>
  </w:style>
  <w:style w:type="character" w:customStyle="1" w:styleId="40">
    <w:name w:val="批注文字 字符"/>
    <w:qFormat/>
    <w:uiPriority w:val="0"/>
    <w:rPr>
      <w:kern w:val="2"/>
      <w:sz w:val="21"/>
      <w:szCs w:val="24"/>
    </w:rPr>
  </w:style>
  <w:style w:type="character" w:customStyle="1" w:styleId="41">
    <w:name w:val="批注主题 Char1"/>
    <w:basedOn w:val="39"/>
    <w:semiHidden/>
    <w:qFormat/>
    <w:uiPriority w:val="99"/>
    <w:rPr>
      <w:rFonts w:ascii="Times New Roman" w:hAnsi="Times New Roman" w:eastAsia="宋体" w:cs="Times New Roman"/>
      <w:b/>
      <w:bCs/>
      <w:szCs w:val="24"/>
    </w:rPr>
  </w:style>
  <w:style w:type="character" w:customStyle="1" w:styleId="42">
    <w:name w:val="批注主题 字符"/>
    <w:qFormat/>
    <w:uiPriority w:val="0"/>
    <w:rPr>
      <w:b/>
      <w:bCs/>
      <w:kern w:val="2"/>
      <w:sz w:val="21"/>
      <w:szCs w:val="24"/>
    </w:rPr>
  </w:style>
  <w:style w:type="paragraph" w:customStyle="1" w:styleId="43">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4">
    <w:name w:val="修订11"/>
    <w:hidden/>
    <w:semiHidden/>
    <w:qFormat/>
    <w:uiPriority w:val="99"/>
    <w:rPr>
      <w:rFonts w:ascii="Times New Roman" w:hAnsi="Times New Roman" w:eastAsia="宋体" w:cs="Times New Roman"/>
      <w:kern w:val="2"/>
      <w:sz w:val="21"/>
      <w:szCs w:val="24"/>
      <w:lang w:val="en-US" w:eastAsia="zh-CN" w:bidi="ar-SA"/>
    </w:rPr>
  </w:style>
  <w:style w:type="character" w:customStyle="1" w:styleId="45">
    <w:name w:val="日期 Char"/>
    <w:basedOn w:val="19"/>
    <w:link w:val="9"/>
    <w:qFormat/>
    <w:uiPriority w:val="0"/>
    <w:rPr>
      <w:rFonts w:ascii="宋体" w:hAnsi="宋体" w:eastAsia="楷体_GB2312" w:cs="Times New Roman"/>
      <w:sz w:val="24"/>
      <w:szCs w:val="20"/>
    </w:rPr>
  </w:style>
  <w:style w:type="paragraph" w:customStyle="1" w:styleId="46">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47">
    <w:name w:val="1"/>
    <w:basedOn w:val="1"/>
    <w:next w:val="8"/>
    <w:qFormat/>
    <w:uiPriority w:val="0"/>
  </w:style>
  <w:style w:type="paragraph" w:customStyle="1" w:styleId="4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Pages>
  <Words>4573</Words>
  <Characters>4837</Characters>
  <Lines>13</Lines>
  <Paragraphs>3</Paragraphs>
  <TotalTime>30</TotalTime>
  <ScaleCrop>false</ScaleCrop>
  <LinksUpToDate>false</LinksUpToDate>
  <CharactersWithSpaces>5517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2022-05-15T01:09:00Z</dcterms:created>
  <dc:creator>朱玺如</dc:creator>
  <cp:lastModifiedBy>李婷婷</cp:lastModifiedBy>
  <cp:lastPrinted>2025-01-20T02:12:00Z</cp:lastPrinted>
  <dcterms:modified xsi:type="dcterms:W3CDTF">2026-10-30T17:28:31Z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01FF01EE4EBB4E78847A08B455958CA1_12</vt:lpwstr>
  </property>
  <property fmtid="{D5CDD505-2E9C-101B-9397-08002B2CF9AE}" pid="4" name="KSOTemplateDocerSaveRecord">
    <vt:lpwstr>eyJoZGlkIjoiOGViZTJlMWY4ZDQ3NzY5MGNjYzEwZDczZDU4MThlNjUiLCJ1c2VySWQiOiIxNjIyNDM3NzA5In0=</vt:lpwstr>
  </property>
</Properties>
</file>