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1F448">
      <w:pPr>
        <w:spacing w:before="240" w:after="120"/>
        <w:jc w:val="center"/>
        <w:rPr>
          <w:rFonts w:hint="eastAsia" w:ascii="方正小标宋_GBK" w:hAnsi="方正小标宋_GBK" w:eastAsia="方正小标宋_GBK" w:cs="方正小标宋_GBK"/>
          <w:sz w:val="44"/>
          <w:szCs w:val="44"/>
        </w:rPr>
      </w:pPr>
      <w:bookmarkStart w:id="1" w:name="_GoBack"/>
      <w:bookmarkEnd w:id="1"/>
      <w:r>
        <w:rPr>
          <w:rFonts w:hint="eastAsia" w:ascii="方正小标宋_GBK" w:hAnsi="方正小标宋_GBK" w:eastAsia="方正小标宋_GBK" w:cs="方正小标宋_GBK"/>
          <w:b/>
          <w:bCs/>
          <w:sz w:val="44"/>
          <w:szCs w:val="44"/>
        </w:rPr>
        <w:t>广西国宏经济发展集团有限公司合同管理系统实施服务采购项目采购文件</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77"/>
        <w:gridCol w:w="1823"/>
        <w:gridCol w:w="6526"/>
      </w:tblGrid>
      <w:tr w14:paraId="58C8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677"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3D04FF13">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序号</w:t>
            </w:r>
          </w:p>
        </w:tc>
        <w:tc>
          <w:tcPr>
            <w:tcW w:w="1823"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550AC73A">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条款名称</w:t>
            </w:r>
          </w:p>
        </w:tc>
        <w:tc>
          <w:tcPr>
            <w:tcW w:w="6526"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1DE7201C">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内容、要求</w:t>
            </w:r>
          </w:p>
        </w:tc>
      </w:tr>
      <w:tr w14:paraId="49FA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5E7EF9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1</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F39A14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项目名称</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2B9B148">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广西国宏经济发展集团有限公司合同管理系统实施服务采购项目</w:t>
            </w:r>
          </w:p>
        </w:tc>
      </w:tr>
      <w:tr w14:paraId="7BE7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7F4B5E5">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2</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DC23A0F">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采购人名称</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B24D53A">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广西国宏经济发展集团有限公司（以下简称“国宏集团”）</w:t>
            </w:r>
          </w:p>
        </w:tc>
      </w:tr>
      <w:tr w14:paraId="7F6D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8BB207A">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3</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E48C6F2">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采购方式</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762EA1B">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询比采购（综合评分法）</w:t>
            </w:r>
          </w:p>
        </w:tc>
      </w:tr>
      <w:tr w14:paraId="01EF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8C1A495">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4</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5A76B70">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项目内容及采购需求</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9CC7F9F">
            <w:pPr>
              <w:spacing w:before="20" w:after="10" w:line="300" w:lineRule="auto"/>
              <w:jc w:val="both"/>
              <w:rPr>
                <w:rFonts w:hint="eastAsia" w:ascii="宋体" w:hAnsi="宋体" w:eastAsia="宋体" w:cs="宋体"/>
                <w:sz w:val="24"/>
                <w:szCs w:val="24"/>
                <w:lang w:eastAsia="zh-CN"/>
              </w:rPr>
            </w:pPr>
            <w:r>
              <w:rPr>
                <w:rFonts w:hint="eastAsia" w:ascii="宋体" w:hAnsi="宋体" w:eastAsia="宋体" w:cs="宋体"/>
                <w:b w:val="0"/>
                <w:bCs w:val="0"/>
                <w:sz w:val="24"/>
                <w:szCs w:val="24"/>
              </w:rPr>
              <w:t>一、项目内容：在集团公司现有合同管理系统基础上增加使用主体，选聘第三方中介机构（系统实施服务商）为</w:t>
            </w:r>
            <w:r>
              <w:rPr>
                <w:rFonts w:hint="eastAsia" w:ascii="宋体" w:hAnsi="宋体" w:cs="宋体"/>
                <w:b w:val="0"/>
                <w:bCs w:val="0"/>
                <w:sz w:val="24"/>
                <w:szCs w:val="24"/>
                <w:lang w:eastAsia="zh-CN"/>
              </w:rPr>
              <w:t>下属</w:t>
            </w:r>
            <w:r>
              <w:rPr>
                <w:rFonts w:hint="eastAsia" w:ascii="宋体" w:hAnsi="宋体" w:eastAsia="宋体" w:cs="宋体"/>
                <w:b w:val="0"/>
                <w:bCs w:val="0"/>
                <w:sz w:val="24"/>
                <w:szCs w:val="24"/>
                <w:lang w:eastAsia="zh-CN"/>
              </w:rPr>
              <w:t>子企业</w:t>
            </w:r>
            <w:r>
              <w:rPr>
                <w:rFonts w:hint="eastAsia" w:ascii="宋体" w:hAnsi="宋体" w:eastAsia="宋体" w:cs="宋体"/>
                <w:b w:val="0"/>
                <w:bCs w:val="0"/>
                <w:sz w:val="24"/>
                <w:szCs w:val="24"/>
              </w:rPr>
              <w:t>部署合同管理系统，实现与集团公司现有系统的对接互联，纳入统一监管</w:t>
            </w:r>
            <w:r>
              <w:rPr>
                <w:rFonts w:hint="eastAsia" w:ascii="宋体" w:hAnsi="宋体" w:eastAsia="宋体" w:cs="宋体"/>
                <w:b w:val="0"/>
                <w:bCs w:val="0"/>
                <w:sz w:val="24"/>
                <w:szCs w:val="24"/>
                <w:lang w:eastAsia="zh-CN"/>
              </w:rPr>
              <w:t>，满足集团化应用，支持分级管控功能、支持不同层级的分支机构，并在同一套系统内能确保其数据的独立性。</w:t>
            </w:r>
          </w:p>
          <w:p w14:paraId="196D8FB1">
            <w:pPr>
              <w:spacing w:before="10" w:after="10" w:line="300" w:lineRule="auto"/>
              <w:jc w:val="both"/>
              <w:rPr>
                <w:rFonts w:hint="eastAsia" w:ascii="宋体" w:hAnsi="宋体" w:eastAsia="宋体" w:cs="宋体"/>
                <w:sz w:val="24"/>
                <w:szCs w:val="24"/>
                <w:shd w:val="clear" w:color="auto" w:fill="auto"/>
              </w:rPr>
            </w:pPr>
            <w:r>
              <w:rPr>
                <w:rFonts w:hint="eastAsia" w:ascii="宋体" w:hAnsi="宋体" w:eastAsia="宋体" w:cs="宋体"/>
                <w:b w:val="0"/>
                <w:bCs w:val="0"/>
                <w:sz w:val="24"/>
                <w:szCs w:val="24"/>
                <w:shd w:val="clear" w:color="auto" w:fill="auto"/>
              </w:rPr>
              <w:t>二、服务要求：（一）系统环境配置；（二）合同表单开发；（三）审批流程配置；（四）与集团公司合同管理系统数据融合；（五）与采购人目前使用的综合办公系统集成；（六）历史数据迁移补录；（七）子企业数据独立性与安全隔离；（八）功能测试；（九）用户培训及上线支持；（十）免费运维期内的运维服务与技术支持。具体内容详见招标文件</w:t>
            </w:r>
            <w:r>
              <w:rPr>
                <w:rFonts w:hint="eastAsia" w:ascii="宋体" w:hAnsi="宋体" w:eastAsia="宋体" w:cs="宋体"/>
                <w:b w:val="0"/>
                <w:bCs w:val="0"/>
                <w:sz w:val="24"/>
                <w:szCs w:val="24"/>
                <w:shd w:val="clear" w:color="auto" w:fill="auto"/>
                <w:lang w:eastAsia="zh-CN"/>
              </w:rPr>
              <w:t>附件</w:t>
            </w:r>
            <w:r>
              <w:rPr>
                <w:rFonts w:hint="eastAsia" w:ascii="宋体" w:hAnsi="宋体" w:eastAsia="宋体" w:cs="宋体"/>
                <w:b w:val="0"/>
                <w:bCs w:val="0"/>
                <w:sz w:val="24"/>
                <w:szCs w:val="24"/>
                <w:shd w:val="clear" w:color="auto" w:fill="auto"/>
                <w:lang w:val="en-US" w:eastAsia="zh-CN"/>
              </w:rPr>
              <w:t>1</w:t>
            </w:r>
            <w:r>
              <w:rPr>
                <w:rFonts w:hint="eastAsia" w:ascii="宋体" w:hAnsi="宋体" w:eastAsia="宋体" w:cs="宋体"/>
                <w:b w:val="0"/>
                <w:bCs w:val="0"/>
                <w:sz w:val="24"/>
                <w:szCs w:val="24"/>
                <w:shd w:val="clear" w:color="auto" w:fill="auto"/>
                <w:lang w:eastAsia="zh-CN"/>
              </w:rPr>
              <w:t>《</w:t>
            </w:r>
            <w:r>
              <w:rPr>
                <w:rFonts w:hint="eastAsia" w:ascii="宋体" w:hAnsi="宋体" w:eastAsia="宋体" w:cs="宋体"/>
                <w:b w:val="0"/>
                <w:bCs w:val="0"/>
                <w:sz w:val="24"/>
                <w:szCs w:val="24"/>
                <w:shd w:val="clear" w:color="auto" w:fill="auto"/>
              </w:rPr>
              <w:t>招标项目采购需求</w:t>
            </w:r>
            <w:r>
              <w:rPr>
                <w:rFonts w:hint="eastAsia" w:ascii="宋体" w:hAnsi="宋体" w:eastAsia="宋体" w:cs="宋体"/>
                <w:b w:val="0"/>
                <w:bCs w:val="0"/>
                <w:sz w:val="24"/>
                <w:szCs w:val="24"/>
                <w:shd w:val="clear" w:color="auto" w:fill="auto"/>
                <w:lang w:eastAsia="zh-CN"/>
              </w:rPr>
              <w:t>》及</w:t>
            </w:r>
            <w:r>
              <w:rPr>
                <w:rFonts w:hint="eastAsia" w:ascii="宋体" w:hAnsi="宋体" w:eastAsia="宋体" w:cs="宋体"/>
                <w:b w:val="0"/>
                <w:bCs w:val="0"/>
                <w:sz w:val="24"/>
                <w:szCs w:val="24"/>
                <w:shd w:val="clear" w:color="auto" w:fill="auto"/>
              </w:rPr>
              <w:t>附件</w:t>
            </w:r>
            <w:r>
              <w:rPr>
                <w:rFonts w:hint="eastAsia" w:ascii="宋体" w:hAnsi="宋体" w:eastAsia="宋体" w:cs="宋体"/>
                <w:b w:val="0"/>
                <w:bCs w:val="0"/>
                <w:sz w:val="24"/>
                <w:szCs w:val="24"/>
                <w:shd w:val="clear" w:color="auto" w:fill="auto"/>
                <w:lang w:val="en-US" w:eastAsia="zh-CN"/>
              </w:rPr>
              <w:t>6《评标办法及</w:t>
            </w:r>
            <w:r>
              <w:rPr>
                <w:rFonts w:hint="eastAsia" w:ascii="宋体" w:hAnsi="宋体" w:eastAsia="宋体" w:cs="宋体"/>
                <w:b w:val="0"/>
                <w:bCs w:val="0"/>
                <w:sz w:val="24"/>
                <w:szCs w:val="24"/>
                <w:shd w:val="clear" w:color="auto" w:fill="auto"/>
              </w:rPr>
              <w:t>评分标准</w:t>
            </w:r>
            <w:r>
              <w:rPr>
                <w:rFonts w:hint="eastAsia" w:ascii="宋体" w:hAnsi="宋体" w:eastAsia="宋体" w:cs="宋体"/>
                <w:b w:val="0"/>
                <w:bCs w:val="0"/>
                <w:sz w:val="24"/>
                <w:szCs w:val="24"/>
                <w:shd w:val="clear" w:color="auto" w:fill="auto"/>
                <w:lang w:val="en-US" w:eastAsia="zh-CN"/>
              </w:rPr>
              <w:t>》</w:t>
            </w:r>
            <w:r>
              <w:rPr>
                <w:rFonts w:hint="eastAsia" w:ascii="宋体" w:hAnsi="宋体" w:eastAsia="宋体" w:cs="宋体"/>
                <w:b w:val="0"/>
                <w:bCs w:val="0"/>
                <w:sz w:val="24"/>
                <w:szCs w:val="24"/>
                <w:shd w:val="clear" w:color="auto" w:fill="auto"/>
              </w:rPr>
              <w:t>。</w:t>
            </w:r>
          </w:p>
          <w:p w14:paraId="73C229FA">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三、服务地点：南宁市</w:t>
            </w:r>
            <w:r>
              <w:rPr>
                <w:rFonts w:hint="eastAsia" w:ascii="宋体" w:hAnsi="宋体" w:eastAsia="宋体" w:cs="宋体"/>
                <w:b w:val="0"/>
                <w:bCs w:val="0"/>
                <w:sz w:val="24"/>
                <w:szCs w:val="24"/>
                <w:lang w:eastAsia="zh-CN"/>
              </w:rPr>
              <w:t>、贵港市及</w:t>
            </w:r>
            <w:r>
              <w:rPr>
                <w:rFonts w:hint="eastAsia" w:ascii="宋体" w:hAnsi="宋体" w:eastAsia="宋体" w:cs="宋体"/>
                <w:b w:val="0"/>
                <w:bCs w:val="0"/>
                <w:sz w:val="24"/>
                <w:szCs w:val="24"/>
              </w:rPr>
              <w:t>采购人</w:t>
            </w:r>
            <w:r>
              <w:rPr>
                <w:rFonts w:hint="eastAsia" w:ascii="宋体" w:hAnsi="宋体" w:eastAsia="宋体" w:cs="宋体"/>
                <w:b w:val="0"/>
                <w:bCs w:val="0"/>
                <w:sz w:val="24"/>
                <w:szCs w:val="24"/>
                <w:lang w:eastAsia="zh-CN"/>
              </w:rPr>
              <w:t>指定的其他</w:t>
            </w:r>
            <w:r>
              <w:rPr>
                <w:rFonts w:hint="eastAsia" w:ascii="宋体" w:hAnsi="宋体" w:eastAsia="宋体" w:cs="宋体"/>
                <w:b w:val="0"/>
                <w:bCs w:val="0"/>
                <w:sz w:val="24"/>
                <w:szCs w:val="24"/>
              </w:rPr>
              <w:t>地点。</w:t>
            </w:r>
          </w:p>
          <w:p w14:paraId="7BC3B5B7">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四、服务期：自合同签订之日起60个日历日内完成系统部署实施并上线试运行；免费运维期及后续运维服务按成交人在响应文件中的承诺执行。</w:t>
            </w:r>
          </w:p>
        </w:tc>
      </w:tr>
      <w:tr w14:paraId="0EA7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436E8DD">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5</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34BFC4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报价人资格</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ED010B9">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一、供应商为中华人民共和国境内依法设立的法人或其他组织，持有有效营业执照等主体资格证明，具有独立承担民事责任的能力，经营范围涵盖软件开发、信息系统集成或信息技术服务；</w:t>
            </w:r>
          </w:p>
          <w:p w14:paraId="5A2B4316">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二、具有履行合同所必需的设备和专业技术能力，拟投入本项目的项目组主要成员不少于</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人；</w:t>
            </w:r>
          </w:p>
          <w:p w14:paraId="2DB26AA3">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三、具有依法缴纳税收和社会保障资金的良好记录（提供近期纳税或社会保障资金缴纳证明，或提供依法缴纳税收和社会保障资金的书面承诺）；</w:t>
            </w:r>
          </w:p>
          <w:p w14:paraId="25A98932">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四、响应文件递交截止时间前三年内，在“信用中国”网站（www.creditchina.gov.cn）、中国政府采购网（www.ccgp.gov.cn）无失信被执行人、重大税收违法失信主体、政府采购严重违法失信行为记录（以提供的查询结果截图并加盖公章为准）；</w:t>
            </w:r>
          </w:p>
          <w:p w14:paraId="14054FF7">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五、本项目不接受联合体报价，成交后不得转包或违法分包；</w:t>
            </w:r>
          </w:p>
          <w:p w14:paraId="7E4F47B3">
            <w:pPr>
              <w:spacing w:before="10" w:after="10" w:line="30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六、单位负责人为同一人或者存在直接控股、管理关系的不同供应商，不得同时参加本项目报价。</w:t>
            </w:r>
          </w:p>
          <w:p w14:paraId="7E8EC15F">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lang w:eastAsia="zh-CN"/>
              </w:rPr>
              <w:t>七、供应商须出具现有系统厂商（北京致远互联软件股份有限公司）开具的投标授权函。</w:t>
            </w:r>
          </w:p>
        </w:tc>
      </w:tr>
      <w:tr w14:paraId="310F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BA7D1AA">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6</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8C613D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报价费用</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9B82629">
            <w:pPr>
              <w:spacing w:before="20" w:after="20" w:line="30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不论报价结果如何，报价人均应自行承担所有与竞标有关的全部费用。报价以固定总价（包干价）进行报价，包括系统环境配置、合同表单开发、审批流程配置、数据融合、功能测试、用户培训、上线支持、免费运维期内的运维服务、实施人力成本、差旅、税费等一切费用。</w:t>
            </w:r>
          </w:p>
          <w:p w14:paraId="4F50259A">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报价最高限额不超过人民币40,000元（大写：肆万元整，包干价）；报价超过40,000元的，报价文件作无效处理。</w:t>
            </w:r>
          </w:p>
        </w:tc>
      </w:tr>
      <w:tr w14:paraId="03E1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9FE5857">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7</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A14A91D">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澄清或者修改</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701D0EB">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提交报价文件截止之日前，采购人可以对已发出的采购文件或公告进行必要澄清或者修改。</w:t>
            </w:r>
          </w:p>
        </w:tc>
      </w:tr>
      <w:tr w14:paraId="640A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9FA2722">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8</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7366461">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报价文件有效期</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7342AE2">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报价文件递交截止之日起</w:t>
            </w:r>
            <w:r>
              <w:rPr>
                <w:rFonts w:hint="eastAsia" w:ascii="宋体" w:hAnsi="宋体" w:eastAsia="宋体" w:cs="宋体"/>
                <w:b w:val="0"/>
                <w:bCs w:val="0"/>
                <w:sz w:val="24"/>
                <w:szCs w:val="24"/>
                <w:lang w:val="en-US" w:eastAsia="zh-CN"/>
              </w:rPr>
              <w:t>60</w:t>
            </w:r>
            <w:r>
              <w:rPr>
                <w:rFonts w:hint="eastAsia" w:ascii="宋体" w:hAnsi="宋体" w:eastAsia="宋体" w:cs="宋体"/>
                <w:b w:val="0"/>
                <w:bCs w:val="0"/>
                <w:sz w:val="24"/>
                <w:szCs w:val="24"/>
              </w:rPr>
              <w:t>个自然日内，有效期不足的报价文件作无效处理。</w:t>
            </w:r>
          </w:p>
        </w:tc>
      </w:tr>
      <w:tr w14:paraId="7F25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7602B14">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9</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BA98486">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报价文件份数</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87676CB">
            <w:pPr>
              <w:spacing w:before="20" w:after="20" w:line="300" w:lineRule="auto"/>
              <w:jc w:val="both"/>
              <w:rPr>
                <w:rFonts w:hint="eastAsia" w:ascii="宋体" w:hAnsi="宋体" w:eastAsia="宋体" w:cs="宋体"/>
                <w:sz w:val="24"/>
                <w:szCs w:val="24"/>
                <w:lang w:eastAsia="zh-CN"/>
              </w:rPr>
            </w:pPr>
            <w:r>
              <w:rPr>
                <w:rFonts w:hint="eastAsia" w:ascii="宋体" w:hAnsi="宋体" w:eastAsia="宋体" w:cs="宋体"/>
                <w:b w:val="0"/>
                <w:bCs w:val="0"/>
                <w:sz w:val="24"/>
                <w:szCs w:val="24"/>
              </w:rPr>
              <w:t>纸质报价文件</w:t>
            </w:r>
            <w:r>
              <w:rPr>
                <w:rFonts w:hint="eastAsia" w:ascii="宋体" w:hAnsi="宋体" w:eastAsia="宋体" w:cs="宋体"/>
                <w:b w:val="0"/>
                <w:bCs w:val="0"/>
                <w:sz w:val="24"/>
                <w:szCs w:val="24"/>
                <w:lang w:eastAsia="zh-CN"/>
              </w:rPr>
              <w:t>贰</w:t>
            </w:r>
            <w:r>
              <w:rPr>
                <w:rFonts w:hint="eastAsia" w:ascii="宋体" w:hAnsi="宋体" w:eastAsia="宋体" w:cs="宋体"/>
                <w:b w:val="0"/>
                <w:bCs w:val="0"/>
                <w:sz w:val="24"/>
                <w:szCs w:val="24"/>
              </w:rPr>
              <w:t>份。</w:t>
            </w:r>
          </w:p>
        </w:tc>
      </w:tr>
      <w:tr w14:paraId="1947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3090FA6">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0</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F1D4088">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报价文件装订要求</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C7B18B8">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报价人应在报价文件每页加盖本企业公章，封面上写明项目名称、采购人名称。</w:t>
            </w:r>
          </w:p>
        </w:tc>
      </w:tr>
      <w:tr w14:paraId="4329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6EA3773">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1</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743DCD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报价文件包装、密封、标记</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6D83709">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报价文件包装、密封：报价人须将报价文件装入一个报价文件袋（盒、箱）中密封，并在密封处密封签章［公章、密封章、法定代表人或相应的授权委托代理人签字均可］。</w:t>
            </w:r>
          </w:p>
          <w:p w14:paraId="5B1B587E">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报价文件袋标记：</w:t>
            </w:r>
          </w:p>
          <w:p w14:paraId="1A76D449">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项目名称：广西国宏经济发展集团有限公司合同管理系统实施服务采购项目</w:t>
            </w:r>
          </w:p>
          <w:p w14:paraId="718E2CA0">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报价人名称：</w:t>
            </w:r>
          </w:p>
          <w:p w14:paraId="1DB59897">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在</w:t>
            </w:r>
            <w:r>
              <w:rPr>
                <w:rFonts w:hint="eastAsia" w:ascii="宋体" w:hAnsi="宋体" w:eastAsia="宋体" w:cs="宋体"/>
                <w:b w:val="0"/>
                <w:bCs w:val="0"/>
                <w:sz w:val="24"/>
                <w:szCs w:val="24"/>
                <w:highlight w:val="none"/>
                <w:shd w:val="clear" w:color="auto" w:fill="auto"/>
              </w:rPr>
              <w:t>2026年9月</w:t>
            </w:r>
            <w:r>
              <w:rPr>
                <w:rFonts w:hint="eastAsia" w:ascii="宋体" w:hAnsi="宋体" w:eastAsia="宋体" w:cs="宋体"/>
                <w:b w:val="0"/>
                <w:bCs w:val="0"/>
                <w:sz w:val="24"/>
                <w:szCs w:val="24"/>
                <w:highlight w:val="none"/>
                <w:shd w:val="clear" w:color="auto" w:fill="auto"/>
                <w:lang w:val="en-US" w:eastAsia="zh-CN"/>
              </w:rPr>
              <w:t>30</w:t>
            </w:r>
            <w:r>
              <w:rPr>
                <w:rFonts w:hint="eastAsia" w:ascii="宋体" w:hAnsi="宋体" w:eastAsia="宋体" w:cs="宋体"/>
                <w:b w:val="0"/>
                <w:bCs w:val="0"/>
                <w:sz w:val="24"/>
                <w:szCs w:val="24"/>
                <w:highlight w:val="none"/>
                <w:shd w:val="clear" w:color="auto" w:fill="auto"/>
              </w:rPr>
              <w:t>日</w:t>
            </w:r>
            <w:r>
              <w:rPr>
                <w:rFonts w:hint="eastAsia" w:ascii="宋体" w:hAnsi="宋体" w:eastAsia="宋体" w:cs="宋体"/>
                <w:b w:val="0"/>
                <w:bCs w:val="0"/>
                <w:sz w:val="24"/>
                <w:szCs w:val="24"/>
              </w:rPr>
              <w:t>18:</w:t>
            </w:r>
            <w:r>
              <w:rPr>
                <w:rFonts w:hint="eastAsia" w:ascii="宋体" w:hAnsi="宋体" w:cs="宋体"/>
                <w:b w:val="0"/>
                <w:bCs w:val="0"/>
                <w:sz w:val="24"/>
                <w:szCs w:val="24"/>
                <w:lang w:eastAsia="zh-CN"/>
              </w:rPr>
              <w:t>00</w:t>
            </w:r>
            <w:r>
              <w:rPr>
                <w:rFonts w:hint="eastAsia" w:ascii="宋体" w:hAnsi="宋体" w:eastAsia="宋体" w:cs="宋体"/>
                <w:b w:val="0"/>
                <w:bCs w:val="0"/>
                <w:sz w:val="24"/>
                <w:szCs w:val="24"/>
              </w:rPr>
              <w:t>（北京时间）前不得开启。</w:t>
            </w:r>
          </w:p>
        </w:tc>
      </w:tr>
      <w:tr w14:paraId="45E3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AA26FED">
            <w:pPr>
              <w:spacing w:before="20" w:after="20" w:line="300" w:lineRule="auto"/>
              <w:jc w:val="center"/>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12</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555E71E">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报价文件递交时间、地点</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1A3998E">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地点：广西南宁市青秀区凤翔路19号信达大厦9楼</w:t>
            </w:r>
          </w:p>
          <w:p w14:paraId="76D3A46C">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时间：</w:t>
            </w:r>
            <w:r>
              <w:rPr>
                <w:rFonts w:hint="eastAsia" w:ascii="宋体" w:hAnsi="宋体" w:eastAsia="宋体" w:cs="宋体"/>
                <w:b w:val="0"/>
                <w:bCs w:val="0"/>
                <w:sz w:val="24"/>
                <w:szCs w:val="24"/>
                <w:shd w:val="clear" w:color="auto" w:fill="auto"/>
              </w:rPr>
              <w:t>2026年</w:t>
            </w:r>
            <w:r>
              <w:rPr>
                <w:rFonts w:hint="eastAsia" w:ascii="宋体" w:hAnsi="宋体" w:eastAsia="宋体" w:cs="宋体"/>
                <w:b w:val="0"/>
                <w:bCs w:val="0"/>
                <w:sz w:val="24"/>
                <w:szCs w:val="24"/>
                <w:shd w:val="clear" w:color="auto" w:fill="auto"/>
                <w:lang w:val="en-US" w:eastAsia="zh-CN"/>
              </w:rPr>
              <w:t>9</w:t>
            </w:r>
            <w:r>
              <w:rPr>
                <w:rFonts w:hint="eastAsia" w:ascii="宋体" w:hAnsi="宋体" w:eastAsia="宋体" w:cs="宋体"/>
                <w:b w:val="0"/>
                <w:bCs w:val="0"/>
                <w:sz w:val="24"/>
                <w:szCs w:val="24"/>
                <w:shd w:val="clear" w:color="auto" w:fill="auto"/>
              </w:rPr>
              <w:t>月</w:t>
            </w:r>
            <w:r>
              <w:rPr>
                <w:rFonts w:hint="eastAsia" w:ascii="宋体" w:hAnsi="宋体" w:eastAsia="宋体" w:cs="宋体"/>
                <w:b w:val="0"/>
                <w:bCs w:val="0"/>
                <w:sz w:val="24"/>
                <w:szCs w:val="24"/>
                <w:shd w:val="clear" w:color="auto" w:fill="auto"/>
                <w:lang w:val="en-US" w:eastAsia="zh-CN"/>
              </w:rPr>
              <w:t>30</w:t>
            </w:r>
            <w:r>
              <w:rPr>
                <w:rFonts w:hint="eastAsia" w:ascii="宋体" w:hAnsi="宋体" w:eastAsia="宋体" w:cs="宋体"/>
                <w:b w:val="0"/>
                <w:bCs w:val="0"/>
                <w:sz w:val="24"/>
                <w:szCs w:val="24"/>
                <w:shd w:val="clear" w:color="auto" w:fill="auto"/>
              </w:rPr>
              <w:t>日</w:t>
            </w:r>
            <w:r>
              <w:rPr>
                <w:rFonts w:hint="eastAsia" w:ascii="宋体" w:hAnsi="宋体" w:eastAsia="宋体" w:cs="宋体"/>
                <w:b w:val="0"/>
                <w:bCs w:val="0"/>
                <w:sz w:val="24"/>
                <w:szCs w:val="24"/>
              </w:rPr>
              <w:t>18:00</w:t>
            </w:r>
            <w:r>
              <w:rPr>
                <w:rFonts w:hint="eastAsia" w:ascii="宋体" w:hAnsi="宋体" w:eastAsia="宋体" w:cs="宋体"/>
                <w:b w:val="0"/>
                <w:bCs w:val="0"/>
                <w:sz w:val="24"/>
                <w:szCs w:val="24"/>
                <w:lang w:eastAsia="zh-CN"/>
              </w:rPr>
              <w:t>前</w:t>
            </w:r>
            <w:r>
              <w:rPr>
                <w:rFonts w:hint="eastAsia" w:ascii="宋体" w:hAnsi="宋体" w:eastAsia="宋体" w:cs="宋体"/>
                <w:b w:val="0"/>
                <w:bCs w:val="0"/>
                <w:sz w:val="24"/>
                <w:szCs w:val="24"/>
              </w:rPr>
              <w:t>递交报价文件。逾期送达的或者未送达指定地点的报价文件，采购人不予受理。</w:t>
            </w:r>
          </w:p>
        </w:tc>
      </w:tr>
      <w:tr w14:paraId="598E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87F21B3">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3</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36BBBCD">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评审办法</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8B36078">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采购人组织成立的采购评审小组应当从均满足采购文件全部实质性响应要求的报价人中，按照本采购文件附件6《评标办法及评分标准》进行综合评分，按照综合评分由高到低顺序推荐1至3名成交候选人并标明排序。</w:t>
            </w:r>
          </w:p>
          <w:p w14:paraId="07DE06E5">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评审小组由采购人按有关规定组建，成员人数为3人（含）以上单数；与供应商有利害关系的人员应当回避。</w:t>
            </w:r>
          </w:p>
        </w:tc>
      </w:tr>
      <w:tr w14:paraId="4DC7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370D512">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4</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6F3922F">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确定成交人方式</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1F7E4DB">
            <w:pPr>
              <w:spacing w:before="10" w:after="20" w:line="30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评审小组将根据综合得分由高到低排列次序（评审结果按评审后得分由高到低顺序排列；得分相同的，按报价由低到高顺序排列；得分且报价相同的并列），推荐1至3名成交候选人并标明排序。成交候选人并列的，以其中技术分得分最高的供应商获得成交候选人推荐资格；技术分得分仍相同的，以其中商务分得分最高的供应商获得成交候选人推荐资格；上述均相同的，由评审小组记名投票确定排序。</w:t>
            </w:r>
          </w:p>
          <w:p w14:paraId="0F9BEA9C">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评审小组按排序推荐1至3名成交候选人并标明排序。采购人确定排名第一的成交候选人为成交供应商；排名第一的候选人放弃成交、因不可抗力不能履行合同、未按要求提交履约担保（如有）或被查实存在影响成交结果违法行为的，采购人可以确定排名第二的候选人为成交供应商，以此类推；采购人也可以决定重新采购。</w:t>
            </w:r>
          </w:p>
        </w:tc>
      </w:tr>
      <w:tr w14:paraId="2B60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D4267B0">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5</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6E1CDDB">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成交通知</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A4052BE">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采购人</w:t>
            </w:r>
            <w:r>
              <w:rPr>
                <w:rFonts w:hint="eastAsia" w:ascii="宋体" w:hAnsi="宋体" w:eastAsia="宋体" w:cs="宋体"/>
                <w:b w:val="0"/>
                <w:bCs w:val="0"/>
                <w:sz w:val="24"/>
                <w:szCs w:val="24"/>
                <w:lang w:eastAsia="zh-CN"/>
              </w:rPr>
              <w:t>发布公告，公告期满</w:t>
            </w:r>
            <w:r>
              <w:rPr>
                <w:rFonts w:hint="eastAsia" w:ascii="宋体" w:hAnsi="宋体" w:eastAsia="宋体" w:cs="宋体"/>
                <w:b w:val="0"/>
                <w:bCs w:val="0"/>
                <w:sz w:val="24"/>
                <w:szCs w:val="24"/>
              </w:rPr>
              <w:t>向项目成交人发出通知。</w:t>
            </w:r>
          </w:p>
        </w:tc>
      </w:tr>
      <w:tr w14:paraId="3203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C1FC90B">
            <w:pPr>
              <w:spacing w:before="20" w:after="20" w:line="300" w:lineRule="auto"/>
              <w:jc w:val="center"/>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16</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45E718D">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签订合同时间</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ECD4A96">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成交人在成交通知送达之日起</w:t>
            </w: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个工作日内与采购人签订合同。</w:t>
            </w:r>
          </w:p>
        </w:tc>
      </w:tr>
      <w:tr w14:paraId="1303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CB2F1EF">
            <w:pPr>
              <w:spacing w:before="20" w:after="20" w:line="300" w:lineRule="auto"/>
              <w:jc w:val="center"/>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17</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EA6C5AA">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付款条件</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AB77A31">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一、付款比例：第一期于合同</w:t>
            </w:r>
            <w:r>
              <w:rPr>
                <w:rFonts w:hint="eastAsia" w:ascii="宋体" w:hAnsi="宋体" w:eastAsia="宋体" w:cs="宋体"/>
                <w:b w:val="0"/>
                <w:bCs w:val="0"/>
                <w:sz w:val="24"/>
                <w:szCs w:val="24"/>
                <w:lang w:eastAsia="zh-CN"/>
              </w:rPr>
              <w:t>签订并</w:t>
            </w:r>
            <w:r>
              <w:rPr>
                <w:rFonts w:hint="eastAsia" w:ascii="宋体" w:hAnsi="宋体" w:eastAsia="宋体" w:cs="宋体"/>
                <w:b w:val="0"/>
                <w:bCs w:val="0"/>
                <w:sz w:val="24"/>
                <w:szCs w:val="24"/>
              </w:rPr>
              <w:t>生效且采购人收到成交人开具的发票之日起10个工作日内支付合同总价的</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0%；第二期于系统部署实施完成、上线试运行并经采购人及智鸿环保集团验收合格后10个工作日内支付合同总价的</w:t>
            </w: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rPr>
              <w:t>0%。具体以双方签订的合同约定为准。</w:t>
            </w:r>
          </w:p>
          <w:p w14:paraId="02B624DD">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二、发票开具：每次付款时，成交人应开具同等金额的增值税专用发票；在国家相关税务法规政策规定税率发生变化时，开具相应税率发票。</w:t>
            </w:r>
          </w:p>
        </w:tc>
      </w:tr>
      <w:tr w14:paraId="73A0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39A0899">
            <w:pPr>
              <w:spacing w:before="20" w:after="20" w:line="300" w:lineRule="auto"/>
              <w:jc w:val="center"/>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18</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E4AAB8A">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联系人</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6267EEF">
            <w:pPr>
              <w:spacing w:before="20" w:after="10" w:line="300" w:lineRule="auto"/>
              <w:jc w:val="both"/>
              <w:rPr>
                <w:rFonts w:hint="eastAsia" w:ascii="宋体" w:hAnsi="宋体" w:eastAsia="宋体" w:cs="宋体"/>
                <w:sz w:val="24"/>
                <w:szCs w:val="24"/>
                <w:highlight w:val="none"/>
                <w:shd w:val="clear" w:color="auto" w:fill="auto"/>
              </w:rPr>
            </w:pPr>
            <w:r>
              <w:rPr>
                <w:rFonts w:hint="eastAsia" w:ascii="宋体" w:hAnsi="宋体" w:eastAsia="宋体" w:cs="宋体"/>
                <w:b w:val="0"/>
                <w:bCs w:val="0"/>
                <w:sz w:val="24"/>
                <w:szCs w:val="24"/>
                <w:highlight w:val="none"/>
                <w:shd w:val="clear" w:color="auto" w:fill="auto"/>
              </w:rPr>
              <w:t>业务咨询联系人：</w:t>
            </w:r>
            <w:r>
              <w:rPr>
                <w:rFonts w:hint="eastAsia" w:ascii="宋体" w:hAnsi="宋体" w:eastAsia="宋体" w:cs="宋体"/>
                <w:b w:val="0"/>
                <w:bCs w:val="0"/>
                <w:sz w:val="24"/>
                <w:szCs w:val="24"/>
                <w:highlight w:val="none"/>
                <w:shd w:val="clear" w:color="auto" w:fill="auto"/>
                <w:lang w:eastAsia="zh-CN"/>
              </w:rPr>
              <w:t>陈工</w:t>
            </w:r>
            <w:r>
              <w:rPr>
                <w:rFonts w:hint="eastAsia" w:ascii="宋体" w:hAnsi="宋体" w:eastAsia="宋体" w:cs="宋体"/>
                <w:b w:val="0"/>
                <w:bCs w:val="0"/>
                <w:sz w:val="24"/>
                <w:szCs w:val="24"/>
                <w:highlight w:val="none"/>
                <w:shd w:val="clear" w:color="auto" w:fill="auto"/>
              </w:rPr>
              <w:t>　联系电话：0771</w:t>
            </w:r>
            <w:r>
              <w:rPr>
                <w:rFonts w:hint="eastAsia" w:ascii="宋体" w:hAnsi="宋体" w:eastAsia="宋体" w:cs="宋体"/>
                <w:b w:val="0"/>
                <w:bCs w:val="0"/>
                <w:sz w:val="24"/>
                <w:szCs w:val="24"/>
                <w:highlight w:val="none"/>
                <w:shd w:val="clear" w:color="auto" w:fill="auto"/>
                <w:lang w:val="en-US" w:eastAsia="zh-CN"/>
              </w:rPr>
              <w:t xml:space="preserve"> </w:t>
            </w:r>
            <w:r>
              <w:rPr>
                <w:rFonts w:hint="eastAsia" w:ascii="宋体" w:hAnsi="宋体" w:eastAsia="宋体" w:cs="宋体"/>
                <w:b w:val="0"/>
                <w:bCs w:val="0"/>
                <w:sz w:val="24"/>
                <w:szCs w:val="24"/>
                <w:highlight w:val="none"/>
                <w:shd w:val="clear" w:color="auto" w:fill="auto"/>
              </w:rPr>
              <w:t>2223986</w:t>
            </w:r>
          </w:p>
          <w:p w14:paraId="68A59402">
            <w:pPr>
              <w:spacing w:before="10" w:after="20" w:line="300" w:lineRule="auto"/>
              <w:jc w:val="both"/>
              <w:rPr>
                <w:rFonts w:hint="eastAsia" w:ascii="宋体" w:hAnsi="宋体" w:eastAsia="宋体" w:cs="宋体"/>
                <w:sz w:val="24"/>
                <w:szCs w:val="24"/>
                <w:lang w:val="en-US" w:eastAsia="zh-CN"/>
              </w:rPr>
            </w:pPr>
            <w:r>
              <w:rPr>
                <w:rFonts w:hint="eastAsia" w:ascii="宋体" w:hAnsi="宋体" w:eastAsia="宋体" w:cs="宋体"/>
                <w:b w:val="0"/>
                <w:bCs w:val="0"/>
                <w:sz w:val="24"/>
                <w:szCs w:val="24"/>
                <w:highlight w:val="none"/>
                <w:shd w:val="clear" w:color="auto" w:fill="auto"/>
              </w:rPr>
              <w:t>报价材料接收人：</w:t>
            </w:r>
            <w:r>
              <w:rPr>
                <w:rFonts w:hint="eastAsia" w:ascii="宋体" w:hAnsi="宋体" w:eastAsia="宋体" w:cs="宋体"/>
                <w:b w:val="0"/>
                <w:bCs w:val="0"/>
                <w:sz w:val="24"/>
                <w:szCs w:val="24"/>
                <w:highlight w:val="none"/>
                <w:shd w:val="clear" w:color="auto" w:fill="auto"/>
                <w:lang w:eastAsia="zh-CN"/>
              </w:rPr>
              <w:t>周工</w:t>
            </w:r>
            <w:r>
              <w:rPr>
                <w:rFonts w:hint="eastAsia" w:ascii="宋体" w:hAnsi="宋体" w:eastAsia="宋体" w:cs="宋体"/>
                <w:b w:val="0"/>
                <w:bCs w:val="0"/>
                <w:sz w:val="24"/>
                <w:szCs w:val="24"/>
                <w:highlight w:val="none"/>
                <w:shd w:val="clear" w:color="auto" w:fill="auto"/>
                <w:lang w:val="en-US" w:eastAsia="zh-CN"/>
              </w:rPr>
              <w:t xml:space="preserve">  </w:t>
            </w:r>
            <w:r>
              <w:rPr>
                <w:rFonts w:hint="eastAsia" w:ascii="宋体" w:hAnsi="宋体" w:eastAsia="宋体" w:cs="宋体"/>
                <w:b w:val="0"/>
                <w:bCs w:val="0"/>
                <w:sz w:val="24"/>
                <w:szCs w:val="24"/>
                <w:highlight w:val="none"/>
                <w:shd w:val="clear" w:color="auto" w:fill="auto"/>
              </w:rPr>
              <w:t>联系电话：</w:t>
            </w:r>
            <w:r>
              <w:rPr>
                <w:rFonts w:hint="eastAsia" w:ascii="宋体" w:hAnsi="宋体" w:eastAsia="宋体" w:cs="宋体"/>
                <w:b w:val="0"/>
                <w:bCs w:val="0"/>
                <w:sz w:val="24"/>
                <w:szCs w:val="24"/>
                <w:highlight w:val="none"/>
                <w:shd w:val="clear" w:color="auto" w:fill="auto"/>
                <w:lang w:val="en-US" w:eastAsia="zh-CN"/>
              </w:rPr>
              <w:t>0771 2223991</w:t>
            </w:r>
          </w:p>
        </w:tc>
      </w:tr>
      <w:tr w14:paraId="665D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1FDC825">
            <w:pPr>
              <w:spacing w:before="20" w:after="20" w:line="300" w:lineRule="auto"/>
              <w:jc w:val="center"/>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19</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F10DCE9">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监督方式</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DA7D44E">
            <w:pPr>
              <w:spacing w:before="20" w:after="10" w:line="30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来信请寄：广西南宁市青秀区凤翔路19号信达大厦8楼国宏集团纪检监察室　　</w:t>
            </w:r>
          </w:p>
          <w:p w14:paraId="7E78BD29">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邮　编：530022</w:t>
            </w:r>
          </w:p>
          <w:p w14:paraId="35D5B0F7">
            <w:pPr>
              <w:spacing w:before="10" w:after="20" w:line="30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来访请到：广西南宁市青秀区凤翔路19号信达大厦8楼808室</w:t>
            </w:r>
          </w:p>
          <w:p w14:paraId="333578E9">
            <w:pPr>
              <w:pStyle w:val="2"/>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联系电话：（0771）5896132</w:t>
            </w:r>
          </w:p>
        </w:tc>
      </w:tr>
      <w:tr w14:paraId="599D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7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BA21C3F">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rPr>
              <w:t>2</w:t>
            </w:r>
            <w:r>
              <w:rPr>
                <w:rFonts w:hint="eastAsia" w:ascii="宋体" w:hAnsi="宋体" w:eastAsia="宋体" w:cs="宋体"/>
                <w:b w:val="0"/>
                <w:bCs w:val="0"/>
                <w:sz w:val="24"/>
                <w:szCs w:val="24"/>
                <w:lang w:val="en-US" w:eastAsia="zh-CN"/>
              </w:rPr>
              <w:t>0</w:t>
            </w:r>
          </w:p>
        </w:tc>
        <w:tc>
          <w:tcPr>
            <w:tcW w:w="182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9570ADA">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解释权</w:t>
            </w:r>
          </w:p>
        </w:tc>
        <w:tc>
          <w:tcPr>
            <w:tcW w:w="65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D595C5B">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本采购文件的解释权属于采购人。</w:t>
            </w:r>
          </w:p>
        </w:tc>
      </w:tr>
    </w:tbl>
    <w:p w14:paraId="1A59F26C">
      <w:pPr>
        <w:spacing w:before="200" w:after="60"/>
        <w:jc w:val="right"/>
        <w:rPr>
          <w:rFonts w:hint="eastAsia" w:ascii="宋体" w:hAnsi="宋体" w:eastAsia="宋体" w:cs="宋体"/>
          <w:b w:val="0"/>
          <w:bCs w:val="0"/>
          <w:sz w:val="24"/>
          <w:szCs w:val="24"/>
        </w:rPr>
      </w:pPr>
    </w:p>
    <w:p w14:paraId="30BBADA4">
      <w:pPr>
        <w:spacing w:before="200" w:after="60"/>
        <w:jc w:val="right"/>
        <w:rPr>
          <w:rFonts w:hint="eastAsia" w:ascii="宋体" w:hAnsi="宋体" w:eastAsia="宋体" w:cs="宋体"/>
          <w:b w:val="0"/>
          <w:bCs w:val="0"/>
          <w:sz w:val="24"/>
          <w:szCs w:val="24"/>
        </w:rPr>
      </w:pPr>
    </w:p>
    <w:p w14:paraId="158821AC">
      <w:pPr>
        <w:spacing w:before="200" w:after="60"/>
        <w:jc w:val="right"/>
        <w:rPr>
          <w:rFonts w:hint="eastAsia" w:ascii="宋体" w:hAnsi="宋体" w:eastAsia="宋体" w:cs="宋体"/>
          <w:b w:val="0"/>
          <w:bCs w:val="0"/>
          <w:sz w:val="24"/>
          <w:szCs w:val="24"/>
        </w:rPr>
      </w:pPr>
    </w:p>
    <w:p w14:paraId="6F62D4B0">
      <w:pPr>
        <w:spacing w:before="200" w:after="60"/>
        <w:ind w:firstLine="5040" w:firstLineChars="2100"/>
        <w:jc w:val="both"/>
        <w:rPr>
          <w:rFonts w:hint="eastAsia" w:ascii="宋体" w:hAnsi="宋体" w:eastAsia="宋体" w:cs="宋体"/>
          <w:sz w:val="24"/>
          <w:szCs w:val="24"/>
        </w:rPr>
      </w:pPr>
      <w:r>
        <w:rPr>
          <w:rFonts w:hint="eastAsia" w:ascii="宋体" w:hAnsi="宋体" w:eastAsia="宋体" w:cs="宋体"/>
          <w:b w:val="0"/>
          <w:bCs w:val="0"/>
          <w:sz w:val="24"/>
          <w:szCs w:val="24"/>
        </w:rPr>
        <w:t>广西国宏经济发展集团有限公司</w:t>
      </w:r>
    </w:p>
    <w:p w14:paraId="6E1834DA">
      <w:pPr>
        <w:spacing w:before="0" w:after="120"/>
        <w:ind w:left="5760" w:hanging="5760" w:hangingChars="2400"/>
        <w:jc w:val="both"/>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2026年9月2</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日</w:t>
      </w:r>
    </w:p>
    <w:p w14:paraId="0BCB8DC1">
      <w:r>
        <w:br w:type="page"/>
      </w:r>
    </w:p>
    <w:p w14:paraId="5EE28CE2">
      <w:pPr>
        <w:spacing w:before="120" w:after="200"/>
        <w:jc w:val="both"/>
        <w:rPr>
          <w:rFonts w:ascii="Times New Roman" w:hAnsi="Times New Roman" w:eastAsia="黑体" w:cs="Times New Roman"/>
          <w:b/>
          <w:bCs/>
          <w:sz w:val="28"/>
          <w:szCs w:val="28"/>
        </w:rPr>
      </w:pPr>
      <w:r>
        <w:rPr>
          <w:rFonts w:ascii="Times New Roman" w:hAnsi="Times New Roman" w:eastAsia="黑体" w:cs="Times New Roman"/>
          <w:b/>
          <w:bCs/>
          <w:sz w:val="28"/>
          <w:szCs w:val="28"/>
        </w:rPr>
        <w:t>附件1</w:t>
      </w:r>
    </w:p>
    <w:p w14:paraId="2F3BCBBB">
      <w:pPr>
        <w:spacing w:before="240"/>
        <w:jc w:val="center"/>
        <w:rPr>
          <w:rFonts w:hint="eastAsia" w:ascii="黑体" w:hAnsi="黑体" w:eastAsia="黑体" w:cs="黑体"/>
          <w:b/>
          <w:color w:val="auto"/>
          <w:kern w:val="2"/>
          <w:sz w:val="30"/>
          <w:szCs w:val="30"/>
          <w:highlight w:val="none"/>
          <w:lang w:val="en-US" w:eastAsia="zh-CN" w:bidi="ar-SA"/>
        </w:rPr>
      </w:pPr>
      <w:bookmarkStart w:id="0" w:name="_Toc22292039"/>
      <w:r>
        <w:rPr>
          <w:rFonts w:hint="eastAsia" w:ascii="黑体" w:hAnsi="黑体" w:eastAsia="黑体" w:cs="黑体"/>
          <w:b/>
          <w:color w:val="auto"/>
          <w:kern w:val="2"/>
          <w:sz w:val="30"/>
          <w:szCs w:val="30"/>
          <w:highlight w:val="none"/>
          <w:lang w:val="en-US" w:eastAsia="zh-CN" w:bidi="ar-SA"/>
        </w:rPr>
        <w:t>采购需求</w:t>
      </w:r>
      <w:bookmarkEnd w:id="0"/>
    </w:p>
    <w:p w14:paraId="5EA0C6DE">
      <w:pPr>
        <w:snapToGrid w:val="0"/>
        <w:rPr>
          <w:rFonts w:hint="eastAsia" w:hAnsi="宋体"/>
          <w:b/>
          <w:bCs/>
          <w:color w:val="000000"/>
          <w:kern w:val="2"/>
          <w:szCs w:val="24"/>
          <w:lang w:val="en-US" w:eastAsia="zh-CN" w:bidi="ar-SA"/>
        </w:rPr>
      </w:pPr>
    </w:p>
    <w:p w14:paraId="5629766B">
      <w:pPr>
        <w:snapToGrid w:val="0"/>
        <w:rPr>
          <w:rFonts w:hint="eastAsia" w:hAnsi="宋体"/>
          <w:b/>
          <w:bCs/>
          <w:color w:val="000000"/>
          <w:kern w:val="2"/>
          <w:szCs w:val="24"/>
          <w:lang w:val="en-US" w:eastAsia="zh-CN" w:bidi="ar-SA"/>
        </w:rPr>
      </w:pPr>
      <w:r>
        <w:rPr>
          <w:rFonts w:hint="eastAsia" w:hAnsi="宋体"/>
          <w:b/>
          <w:bCs/>
          <w:color w:val="000000"/>
          <w:kern w:val="2"/>
          <w:szCs w:val="24"/>
          <w:lang w:val="en-US" w:eastAsia="zh-CN" w:bidi="ar-SA"/>
        </w:rPr>
        <w:t>说明：</w:t>
      </w:r>
    </w:p>
    <w:p w14:paraId="70E95BEE">
      <w:pPr>
        <w:snapToGrid w:val="0"/>
        <w:ind w:left="738" w:leftChars="204" w:hanging="310" w:hangingChars="147"/>
        <w:rPr>
          <w:rFonts w:hint="eastAsia" w:ascii="宋体" w:hAnsi="宋体"/>
          <w:b/>
          <w:bCs/>
          <w:color w:val="000000"/>
          <w:kern w:val="2"/>
          <w:szCs w:val="24"/>
          <w:lang w:val="en-US" w:eastAsia="zh-CN" w:bidi="ar-SA"/>
        </w:rPr>
      </w:pPr>
      <w:r>
        <w:rPr>
          <w:rFonts w:hint="eastAsia" w:ascii="宋体" w:hAnsi="宋体"/>
          <w:b/>
          <w:bCs/>
          <w:color w:val="000000"/>
          <w:kern w:val="2"/>
          <w:szCs w:val="24"/>
          <w:lang w:val="en-US" w:eastAsia="zh-CN" w:bidi="ar-SA"/>
        </w:rPr>
        <w:t>1.</w:t>
      </w:r>
      <w:r>
        <w:rPr>
          <w:rFonts w:ascii="宋体" w:hAnsi="宋体"/>
          <w:b/>
          <w:bCs/>
          <w:color w:val="000000"/>
          <w:kern w:val="2"/>
          <w:szCs w:val="24"/>
          <w:lang w:val="en-US" w:eastAsia="zh-CN" w:bidi="ar-SA"/>
        </w:rPr>
        <w:t>采购标的需实现的功能或者目标</w:t>
      </w:r>
      <w:r>
        <w:rPr>
          <w:rFonts w:hint="eastAsia" w:ascii="宋体" w:hAnsi="宋体"/>
          <w:b/>
          <w:bCs/>
          <w:color w:val="000000"/>
          <w:kern w:val="2"/>
          <w:szCs w:val="24"/>
          <w:lang w:val="en-US" w:eastAsia="zh-CN" w:bidi="ar-SA"/>
        </w:rPr>
        <w:t>：满足采购人使用需求，满足行业主管部门的相关要求。</w:t>
      </w:r>
    </w:p>
    <w:p w14:paraId="3A370F13">
      <w:pPr>
        <w:snapToGrid w:val="0"/>
        <w:ind w:left="738" w:leftChars="204" w:hanging="310" w:hangingChars="147"/>
        <w:rPr>
          <w:rFonts w:hint="eastAsia" w:ascii="宋体" w:hAnsi="宋体"/>
          <w:b/>
          <w:bCs/>
          <w:color w:val="000000"/>
          <w:kern w:val="2"/>
          <w:szCs w:val="24"/>
          <w:lang w:val="en-US" w:eastAsia="zh-CN" w:bidi="ar-SA"/>
        </w:rPr>
      </w:pPr>
      <w:r>
        <w:rPr>
          <w:rFonts w:hint="eastAsia" w:ascii="宋体" w:hAnsi="宋体"/>
          <w:b/>
          <w:bCs/>
          <w:color w:val="000000"/>
          <w:kern w:val="2"/>
          <w:szCs w:val="24"/>
          <w:lang w:val="en-US" w:eastAsia="zh-CN" w:bidi="ar-SA"/>
        </w:rPr>
        <w:t>2.</w:t>
      </w:r>
      <w:r>
        <w:rPr>
          <w:rFonts w:ascii="宋体" w:hAnsi="宋体"/>
          <w:b/>
          <w:bCs/>
          <w:color w:val="000000"/>
          <w:kern w:val="2"/>
          <w:szCs w:val="24"/>
          <w:lang w:val="en-US" w:eastAsia="zh-CN" w:bidi="ar-SA"/>
        </w:rPr>
        <w:t>标准规范</w:t>
      </w:r>
      <w:r>
        <w:rPr>
          <w:rFonts w:hint="eastAsia" w:ascii="宋体" w:hAnsi="宋体"/>
          <w:b/>
          <w:bCs/>
          <w:color w:val="000000"/>
          <w:kern w:val="2"/>
          <w:szCs w:val="24"/>
          <w:lang w:val="en-US" w:eastAsia="zh-CN" w:bidi="ar-SA"/>
        </w:rPr>
        <w:t>：采购标的需执行的国家标准、行业标准、地方标准或者其他标准、规范。</w:t>
      </w:r>
    </w:p>
    <w:p w14:paraId="59549878">
      <w:pPr>
        <w:snapToGrid w:val="0"/>
        <w:ind w:left="738" w:leftChars="204" w:hanging="310" w:hangingChars="147"/>
        <w:rPr>
          <w:rFonts w:hint="eastAsia" w:ascii="宋体" w:hAnsi="宋体"/>
          <w:b/>
          <w:bCs/>
          <w:color w:val="000000"/>
          <w:kern w:val="2"/>
          <w:szCs w:val="24"/>
          <w:lang w:val="en-US" w:eastAsia="zh-CN" w:bidi="ar-SA"/>
        </w:rPr>
      </w:pPr>
      <w:r>
        <w:rPr>
          <w:rFonts w:hint="eastAsia" w:ascii="宋体" w:hAnsi="宋体"/>
          <w:b/>
          <w:bCs/>
          <w:color w:val="000000"/>
          <w:kern w:val="2"/>
          <w:szCs w:val="24"/>
          <w:lang w:val="en-US" w:eastAsia="zh-CN" w:bidi="ar-SA"/>
        </w:rPr>
        <w:t>3.</w:t>
      </w:r>
      <w:r>
        <w:rPr>
          <w:rFonts w:ascii="宋体" w:hAnsi="宋体"/>
          <w:b/>
          <w:bCs/>
          <w:color w:val="000000"/>
          <w:kern w:val="2"/>
          <w:szCs w:val="24"/>
          <w:lang w:val="en-US" w:eastAsia="zh-CN" w:bidi="ar-SA"/>
        </w:rPr>
        <w:t>凡在“技术参数及性能（配置）要求”中表述为“标配”或“标准配置”的设备，</w:t>
      </w:r>
      <w:r>
        <w:rPr>
          <w:rFonts w:hint="eastAsia" w:ascii="宋体" w:hAnsi="宋体"/>
          <w:b/>
          <w:bCs/>
          <w:color w:val="000000"/>
          <w:kern w:val="2"/>
          <w:szCs w:val="24"/>
          <w:lang w:val="en-US" w:eastAsia="zh-CN" w:bidi="ar-SA"/>
        </w:rPr>
        <w:t>投标</w:t>
      </w:r>
      <w:r>
        <w:rPr>
          <w:rFonts w:ascii="宋体" w:hAnsi="宋体"/>
          <w:b/>
          <w:bCs/>
          <w:color w:val="000000"/>
          <w:kern w:val="2"/>
          <w:szCs w:val="24"/>
          <w:lang w:val="en-US" w:eastAsia="zh-CN" w:bidi="ar-SA"/>
        </w:rPr>
        <w:t>人应在投标报价明细表中将其标配参数详细列明。</w:t>
      </w:r>
    </w:p>
    <w:p w14:paraId="79DF664A">
      <w:pPr>
        <w:snapToGrid w:val="0"/>
        <w:ind w:left="731" w:leftChars="206" w:hanging="299" w:hangingChars="142"/>
        <w:rPr>
          <w:rFonts w:hint="eastAsia" w:ascii="宋体" w:hAnsi="宋体"/>
          <w:b/>
          <w:bCs/>
          <w:color w:val="000000"/>
          <w:kern w:val="2"/>
          <w:szCs w:val="24"/>
          <w:lang w:val="en-US" w:eastAsia="zh-CN" w:bidi="ar-SA"/>
        </w:rPr>
      </w:pPr>
      <w:r>
        <w:rPr>
          <w:rFonts w:hint="eastAsia" w:ascii="宋体" w:hAnsi="宋体"/>
          <w:b/>
          <w:bCs/>
          <w:color w:val="000000"/>
          <w:kern w:val="2"/>
          <w:szCs w:val="24"/>
          <w:lang w:val="en-US" w:eastAsia="zh-CN" w:bidi="ar-SA"/>
        </w:rPr>
        <w:t>4.带“▲”号的参数内容为实质性要求和条件，是必须满足的参数，否则被视为无效投标。</w:t>
      </w:r>
    </w:p>
    <w:p w14:paraId="5B5C18AC">
      <w:pPr>
        <w:snapToGrid w:val="0"/>
        <w:ind w:left="731" w:leftChars="206" w:hanging="299" w:hangingChars="142"/>
        <w:rPr>
          <w:rFonts w:hint="eastAsia" w:ascii="宋体" w:hAnsi="宋体"/>
          <w:b/>
          <w:kern w:val="2"/>
          <w:szCs w:val="21"/>
          <w:lang w:val="en-US" w:eastAsia="zh-CN" w:bidi="ar-SA"/>
        </w:rPr>
      </w:pPr>
      <w:r>
        <w:rPr>
          <w:rFonts w:hint="eastAsia" w:ascii="宋体" w:hAnsi="宋体"/>
          <w:b/>
          <w:bCs/>
          <w:color w:val="000000"/>
          <w:kern w:val="2"/>
          <w:szCs w:val="24"/>
          <w:highlight w:val="none"/>
          <w:lang w:val="en-US" w:eastAsia="zh-CN" w:bidi="ar-SA"/>
        </w:rPr>
        <w:t>5.带</w:t>
      </w:r>
      <w:r>
        <w:rPr>
          <w:rFonts w:ascii="宋体" w:hAnsi="宋体"/>
          <w:b/>
          <w:bCs/>
          <w:color w:val="000000"/>
          <w:kern w:val="2"/>
          <w:szCs w:val="24"/>
          <w:highlight w:val="none"/>
          <w:lang w:val="en-US" w:eastAsia="zh-CN" w:bidi="ar-SA"/>
        </w:rPr>
        <w:t>“</w:t>
      </w:r>
      <w:r>
        <w:rPr>
          <w:rFonts w:hint="eastAsia" w:ascii="宋体" w:hAnsi="宋体"/>
          <w:b/>
          <w:bCs/>
          <w:color w:val="000000"/>
          <w:kern w:val="2"/>
          <w:szCs w:val="24"/>
          <w:highlight w:val="none"/>
          <w:lang w:val="en-US" w:eastAsia="zh-CN" w:bidi="ar-SA"/>
        </w:rPr>
        <w:t>●</w:t>
      </w:r>
      <w:r>
        <w:rPr>
          <w:rFonts w:ascii="宋体" w:hAnsi="宋体"/>
          <w:b/>
          <w:bCs/>
          <w:color w:val="000000"/>
          <w:kern w:val="2"/>
          <w:szCs w:val="24"/>
          <w:highlight w:val="none"/>
          <w:lang w:val="en-US" w:eastAsia="zh-CN" w:bidi="ar-SA"/>
        </w:rPr>
        <w:t>”号</w:t>
      </w:r>
      <w:r>
        <w:rPr>
          <w:rFonts w:hint="eastAsia" w:ascii="宋体" w:hAnsi="宋体"/>
          <w:b/>
          <w:bCs/>
          <w:color w:val="000000"/>
          <w:kern w:val="2"/>
          <w:szCs w:val="24"/>
          <w:highlight w:val="none"/>
          <w:lang w:val="en-US" w:eastAsia="zh-CN" w:bidi="ar-SA"/>
        </w:rPr>
        <w:t>条</w:t>
      </w:r>
      <w:r>
        <w:rPr>
          <w:rFonts w:hint="eastAsia" w:ascii="Times New Roman" w:eastAsia="宋体"/>
          <w:b/>
          <w:bCs/>
          <w:kern w:val="2"/>
          <w:szCs w:val="21"/>
          <w:highlight w:val="none"/>
          <w:lang w:val="en-US" w:eastAsia="zh-CN" w:bidi="ar-SA"/>
        </w:rPr>
        <w:t>款作为评审时的重要技术条款，不作为</w:t>
      </w:r>
      <w:r>
        <w:rPr>
          <w:rFonts w:hint="eastAsia" w:ascii="宋体" w:hAnsi="宋体"/>
          <w:b/>
          <w:bCs/>
          <w:color w:val="000000"/>
          <w:kern w:val="2"/>
          <w:szCs w:val="24"/>
          <w:highlight w:val="none"/>
          <w:lang w:val="en-US" w:eastAsia="zh-CN" w:bidi="ar-SA"/>
        </w:rPr>
        <w:t>“▲”</w:t>
      </w:r>
      <w:r>
        <w:rPr>
          <w:rFonts w:hint="eastAsia" w:ascii="Times New Roman" w:eastAsia="宋体"/>
          <w:b/>
          <w:bCs/>
          <w:kern w:val="2"/>
          <w:szCs w:val="21"/>
          <w:highlight w:val="none"/>
          <w:lang w:val="en-US" w:eastAsia="zh-CN" w:bidi="ar-SA"/>
        </w:rPr>
        <w:t>号实质性条款。</w:t>
      </w:r>
      <w:r>
        <w:rPr>
          <w:rFonts w:hint="eastAsia" w:ascii="Times New Roman" w:hAnsi="Times New Roman" w:eastAsia="宋体" w:cs="Times New Roman"/>
          <w:b/>
          <w:bCs/>
          <w:kern w:val="2"/>
          <w:szCs w:val="21"/>
          <w:highlight w:val="none"/>
          <w:lang w:val="en-US" w:eastAsia="zh-CN" w:bidi="ar-SA"/>
        </w:rPr>
        <w:t>本采购文件所述一般参数指标指的是重要技术条款要求及实质性要求条款以外的</w:t>
      </w:r>
      <w:r>
        <w:rPr>
          <w:rFonts w:hint="eastAsia" w:cs="Times New Roman"/>
          <w:b/>
          <w:bCs/>
          <w:kern w:val="2"/>
          <w:szCs w:val="21"/>
          <w:highlight w:val="none"/>
          <w:lang w:val="en-US" w:eastAsia="zh-CN" w:bidi="ar-SA"/>
        </w:rPr>
        <w:t>其他</w:t>
      </w:r>
      <w:r>
        <w:rPr>
          <w:rFonts w:hint="eastAsia" w:ascii="Times New Roman" w:hAnsi="Times New Roman" w:eastAsia="宋体" w:cs="Times New Roman"/>
          <w:b/>
          <w:bCs/>
          <w:kern w:val="2"/>
          <w:szCs w:val="21"/>
          <w:highlight w:val="none"/>
          <w:lang w:val="en-US" w:eastAsia="zh-CN" w:bidi="ar-SA"/>
        </w:rPr>
        <w:t>要求。</w:t>
      </w:r>
    </w:p>
    <w:tbl>
      <w:tblPr>
        <w:tblStyle w:val="13"/>
        <w:tblW w:w="10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765"/>
        <w:gridCol w:w="8544"/>
      </w:tblGrid>
      <w:tr w14:paraId="3AB9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2" w:type="dxa"/>
            <w:gridSpan w:val="3"/>
            <w:noWrap w:val="0"/>
            <w:vAlign w:val="top"/>
          </w:tcPr>
          <w:p w14:paraId="106E7C62">
            <w:pPr>
              <w:widowControl/>
              <w:wordWrap w:val="0"/>
              <w:topLinePunct/>
              <w:snapToGrid w:val="0"/>
              <w:jc w:val="left"/>
              <w:rPr>
                <w:rFonts w:hint="default" w:ascii="宋体" w:hAnsi="宋体" w:eastAsia="宋体"/>
                <w:b/>
                <w:kern w:val="2"/>
                <w:szCs w:val="21"/>
                <w:lang w:val="en-US" w:eastAsia="zh-CN" w:bidi="ar-SA"/>
              </w:rPr>
            </w:pPr>
            <w:r>
              <w:rPr>
                <w:rFonts w:hint="eastAsia" w:ascii="宋体" w:hAnsi="宋体" w:eastAsia="宋体"/>
                <w:b/>
                <w:kern w:val="2"/>
                <w:szCs w:val="21"/>
                <w:lang w:val="en-US" w:eastAsia="zh-CN" w:bidi="ar-SA"/>
              </w:rPr>
              <w:t>一、项目要求及技术需求</w:t>
            </w:r>
          </w:p>
        </w:tc>
      </w:tr>
      <w:tr w14:paraId="4229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center"/>
          </w:tcPr>
          <w:p w14:paraId="3E3892B9">
            <w:pPr>
              <w:wordWrap w:val="0"/>
              <w:topLinePunct/>
              <w:snapToGrid w:val="0"/>
              <w:jc w:val="center"/>
              <w:rPr>
                <w:rFonts w:ascii="宋体" w:hAnsi="宋体" w:eastAsia="宋体" w:cs="Courier New"/>
                <w:b/>
                <w:bCs/>
                <w:kern w:val="2"/>
                <w:szCs w:val="21"/>
                <w:lang w:val="en-US" w:eastAsia="zh-CN" w:bidi="ar-SA"/>
              </w:rPr>
            </w:pPr>
            <w:r>
              <w:rPr>
                <w:rFonts w:ascii="宋体" w:hAnsi="宋体" w:eastAsia="宋体" w:cs="Courier New"/>
                <w:b/>
                <w:bCs/>
                <w:kern w:val="2"/>
                <w:szCs w:val="21"/>
                <w:lang w:val="en-US" w:eastAsia="zh-CN" w:bidi="ar-SA"/>
              </w:rPr>
              <w:t>设备名称</w:t>
            </w:r>
          </w:p>
        </w:tc>
        <w:tc>
          <w:tcPr>
            <w:tcW w:w="765" w:type="dxa"/>
            <w:noWrap w:val="0"/>
            <w:vAlign w:val="center"/>
          </w:tcPr>
          <w:p w14:paraId="062526FB">
            <w:pPr>
              <w:widowControl/>
              <w:wordWrap w:val="0"/>
              <w:topLinePunct/>
              <w:snapToGrid w:val="0"/>
              <w:jc w:val="center"/>
              <w:rPr>
                <w:rFonts w:hint="eastAsia" w:ascii="宋体" w:hAnsi="宋体" w:eastAsia="宋体"/>
                <w:b/>
                <w:kern w:val="2"/>
                <w:szCs w:val="21"/>
                <w:lang w:val="en-US" w:eastAsia="zh-CN" w:bidi="ar-SA"/>
              </w:rPr>
            </w:pPr>
            <w:r>
              <w:rPr>
                <w:rFonts w:hint="eastAsia" w:ascii="宋体" w:hAnsi="宋体" w:eastAsia="宋体"/>
                <w:b/>
                <w:kern w:val="2"/>
                <w:szCs w:val="21"/>
                <w:lang w:val="en-US" w:eastAsia="zh-CN" w:bidi="ar-SA"/>
              </w:rPr>
              <w:t>数量</w:t>
            </w:r>
          </w:p>
        </w:tc>
        <w:tc>
          <w:tcPr>
            <w:tcW w:w="8544" w:type="dxa"/>
            <w:noWrap w:val="0"/>
            <w:vAlign w:val="center"/>
          </w:tcPr>
          <w:p w14:paraId="6C541779">
            <w:pPr>
              <w:wordWrap w:val="0"/>
              <w:topLinePunct/>
              <w:snapToGrid w:val="0"/>
              <w:jc w:val="center"/>
              <w:rPr>
                <w:rFonts w:hint="default" w:ascii="宋体" w:hAnsi="宋体" w:eastAsia="宋体" w:cs="宋体"/>
                <w:b/>
                <w:kern w:val="2"/>
                <w:szCs w:val="21"/>
                <w:lang w:val="en-US" w:eastAsia="zh-CN" w:bidi="ar-SA"/>
              </w:rPr>
            </w:pPr>
            <w:r>
              <w:rPr>
                <w:rFonts w:hint="eastAsia" w:ascii="宋体" w:hAnsi="宋体" w:cs="宋体"/>
                <w:b/>
                <w:kern w:val="2"/>
                <w:szCs w:val="21"/>
                <w:lang w:val="en-US" w:eastAsia="zh-CN" w:bidi="ar-SA"/>
              </w:rPr>
              <w:t>服务要求</w:t>
            </w:r>
          </w:p>
        </w:tc>
      </w:tr>
      <w:tr w14:paraId="15C2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center"/>
          </w:tcPr>
          <w:p w14:paraId="4BB23581">
            <w:pPr>
              <w:wordWrap w:val="0"/>
              <w:topLinePunct/>
              <w:snapToGrid w:val="0"/>
              <w:jc w:val="center"/>
              <w:rPr>
                <w:rFonts w:hint="eastAsia" w:ascii="宋体" w:hAnsi="宋体" w:eastAsia="宋体"/>
                <w:color w:val="000000"/>
                <w:kern w:val="2"/>
                <w:szCs w:val="21"/>
                <w:highlight w:val="none"/>
                <w:lang w:val="en-US" w:eastAsia="zh-CN" w:bidi="ar-SA"/>
              </w:rPr>
            </w:pPr>
            <w:r>
              <w:rPr>
                <w:rFonts w:hint="eastAsia" w:ascii="宋体" w:hAnsi="宋体" w:eastAsia="宋体"/>
                <w:color w:val="000000"/>
                <w:kern w:val="2"/>
                <w:szCs w:val="21"/>
                <w:highlight w:val="none"/>
                <w:lang w:val="en-US" w:eastAsia="zh-CN" w:bidi="ar-SA"/>
              </w:rPr>
              <w:t>合同管理系统建设服务</w:t>
            </w:r>
          </w:p>
        </w:tc>
        <w:tc>
          <w:tcPr>
            <w:tcW w:w="765" w:type="dxa"/>
            <w:tcBorders>
              <w:right w:val="single" w:color="auto" w:sz="4" w:space="0"/>
            </w:tcBorders>
            <w:noWrap w:val="0"/>
            <w:vAlign w:val="center"/>
          </w:tcPr>
          <w:p w14:paraId="30D66ABC">
            <w:pPr>
              <w:wordWrap w:val="0"/>
              <w:topLinePunct/>
              <w:snapToGrid w:val="0"/>
              <w:jc w:val="center"/>
              <w:rPr>
                <w:rFonts w:hint="eastAsia" w:ascii="宋体" w:hAnsi="宋体" w:eastAsia="宋体"/>
                <w:color w:val="000000"/>
                <w:kern w:val="2"/>
                <w:szCs w:val="21"/>
                <w:highlight w:val="none"/>
                <w:lang w:val="en-US" w:eastAsia="zh-CN" w:bidi="ar-SA"/>
              </w:rPr>
            </w:pPr>
            <w:r>
              <w:rPr>
                <w:rFonts w:hint="eastAsia" w:ascii="宋体" w:hAnsi="宋体" w:eastAsia="宋体"/>
                <w:color w:val="000000"/>
                <w:kern w:val="2"/>
                <w:szCs w:val="21"/>
                <w:highlight w:val="none"/>
                <w:lang w:val="en-US" w:eastAsia="zh-CN" w:bidi="ar-SA"/>
              </w:rPr>
              <w:t>1项</w:t>
            </w:r>
          </w:p>
        </w:tc>
        <w:tc>
          <w:tcPr>
            <w:tcW w:w="8544" w:type="dxa"/>
            <w:noWrap w:val="0"/>
            <w:vAlign w:val="center"/>
          </w:tcPr>
          <w:p w14:paraId="6B82E58D">
            <w:pPr>
              <w:keepNext w:val="0"/>
              <w:keepLines w:val="0"/>
              <w:pageBreakBefore w:val="0"/>
              <w:kinsoku/>
              <w:overflowPunct/>
              <w:bidi w:val="0"/>
              <w:adjustRightInd w:val="0"/>
              <w:snapToGrid w:val="0"/>
              <w:spacing w:line="240" w:lineRule="auto"/>
              <w:rPr>
                <w:rFonts w:hint="eastAsia" w:ascii="宋体" w:hAnsi="宋体" w:eastAsia="宋体" w:cs="宋体"/>
                <w:b/>
                <w:bCs/>
                <w:kern w:val="2"/>
                <w:sz w:val="21"/>
                <w:szCs w:val="21"/>
                <w:lang w:val="en-US" w:eastAsia="zh-CN" w:bidi="zh-CN"/>
              </w:rPr>
            </w:pPr>
            <w:r>
              <w:rPr>
                <w:rFonts w:hint="eastAsia" w:ascii="宋体" w:hAnsi="宋体" w:eastAsia="宋体" w:cs="宋体"/>
                <w:b/>
                <w:bCs/>
                <w:kern w:val="2"/>
                <w:sz w:val="21"/>
                <w:szCs w:val="21"/>
                <w:lang w:val="en-US" w:eastAsia="zh-CN" w:bidi="zh-CN"/>
              </w:rPr>
              <w:t>一、软件平台部分：</w:t>
            </w:r>
          </w:p>
          <w:p w14:paraId="45076C76">
            <w:pPr>
              <w:keepNext w:val="0"/>
              <w:keepLines w:val="0"/>
              <w:pageBreakBefore w:val="0"/>
              <w:kinsoku/>
              <w:overflowPunct/>
              <w:bidi w:val="0"/>
              <w:adjustRightInd w:val="0"/>
              <w:snapToGrid w:val="0"/>
              <w:spacing w:line="240" w:lineRule="auto"/>
              <w:ind w:firstLine="211" w:firstLineChars="100"/>
              <w:rPr>
                <w:rFonts w:hint="eastAsia" w:ascii="宋体" w:hAnsi="宋体" w:eastAsia="宋体" w:cs="宋体"/>
                <w:b/>
                <w:bCs/>
                <w:kern w:val="2"/>
                <w:sz w:val="21"/>
                <w:szCs w:val="21"/>
                <w:lang w:val="en-US" w:eastAsia="zh-CN" w:bidi="zh-CN"/>
              </w:rPr>
            </w:pPr>
            <w:r>
              <w:rPr>
                <w:rFonts w:hint="eastAsia" w:ascii="宋体" w:hAnsi="宋体" w:cs="宋体"/>
                <w:b/>
                <w:bCs/>
                <w:kern w:val="2"/>
                <w:sz w:val="21"/>
                <w:szCs w:val="21"/>
                <w:lang w:val="en-US" w:eastAsia="zh-CN" w:bidi="zh-CN"/>
              </w:rPr>
              <w:t>1.</w:t>
            </w:r>
            <w:r>
              <w:rPr>
                <w:rFonts w:hint="eastAsia" w:ascii="宋体" w:hAnsi="宋体" w:eastAsia="宋体" w:cs="宋体"/>
                <w:b/>
                <w:bCs/>
                <w:kern w:val="2"/>
                <w:sz w:val="21"/>
                <w:szCs w:val="21"/>
                <w:lang w:val="en-US" w:eastAsia="zh-CN" w:bidi="zh-CN"/>
              </w:rPr>
              <w:t>软件架构要求：</w:t>
            </w:r>
          </w:p>
          <w:p w14:paraId="3A9AE0BE">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1.系统及其数据库等内容达到相关信创标准要求（如以下软件架构、运行要求与信创标准有冲突的，以信创标准为准）。</w:t>
            </w:r>
          </w:p>
          <w:p w14:paraId="23953B0F">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2.系统管理平台应为集团版，满足集团化应用，支持分级管控功能；支持不同层级的分支机构，并在同一套系统内能确保其数据的独立性。</w:t>
            </w:r>
          </w:p>
          <w:p w14:paraId="5B882512">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3.系统应采用JAVA语言开发，可跨平台部署，支持LINUX、统信、麒麟等国产操作系统。</w:t>
            </w:r>
          </w:p>
          <w:p w14:paraId="3D11291D">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4.支持DM、人大金仓等国产数据库，东方通、宝兰德等国产各种中间件平台。</w:t>
            </w:r>
          </w:p>
          <w:p w14:paraId="0375F3F2">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5.系统架构应采用B/S模式，客户端零安装，通过浏览器能稳定可靠使用，要求支持IE、Firefox、Chrome、Opera、Safari等主流浏览器并通过验证。系统的维护和版本更新应只限于在服务器上进行</w:t>
            </w:r>
            <w:r>
              <w:rPr>
                <w:rFonts w:hint="eastAsia" w:ascii="宋体" w:hAnsi="宋体" w:eastAsia="宋体" w:cs="宋体"/>
                <w:kern w:val="2"/>
                <w:sz w:val="21"/>
                <w:szCs w:val="21"/>
                <w:lang w:val="en-US" w:eastAsia="zh-CN" w:bidi="ar-SA"/>
              </w:rPr>
              <w:t>。</w:t>
            </w:r>
          </w:p>
          <w:p w14:paraId="3ECFDA79">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6.系统应具备门户化的功能，应具备与其他业务系统如流程、消息提醒、数据处理等方面的整合能力。</w:t>
            </w:r>
          </w:p>
          <w:p w14:paraId="019A0E43">
            <w:pPr>
              <w:keepNext w:val="0"/>
              <w:keepLines w:val="0"/>
              <w:pageBreakBefore w:val="0"/>
              <w:widowControl w:val="0"/>
              <w:kinsoku/>
              <w:wordWrap w:val="0"/>
              <w:overflowPunct/>
              <w:topLinePunct/>
              <w:autoSpaceDE/>
              <w:autoSpaceDN/>
              <w:bidi w:val="0"/>
              <w:adjustRightInd w:val="0"/>
              <w:snapToGrid w:val="0"/>
              <w:spacing w:line="240" w:lineRule="auto"/>
              <w:ind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7.移动端App要求至少包括ios版、Android版。</w:t>
            </w:r>
          </w:p>
          <w:p w14:paraId="19B33EB4">
            <w:pPr>
              <w:keepNext w:val="0"/>
              <w:keepLines w:val="0"/>
              <w:pageBreakBefore w:val="0"/>
              <w:kinsoku/>
              <w:overflowPunct/>
              <w:bidi w:val="0"/>
              <w:adjustRightInd w:val="0"/>
              <w:snapToGrid w:val="0"/>
              <w:spacing w:line="240" w:lineRule="auto"/>
              <w:ind w:firstLine="211" w:firstLineChars="100"/>
              <w:rPr>
                <w:rFonts w:hint="eastAsia" w:ascii="宋体" w:hAnsi="宋体" w:eastAsia="宋体" w:cs="宋体"/>
                <w:kern w:val="2"/>
                <w:sz w:val="21"/>
                <w:szCs w:val="21"/>
                <w:lang w:val="en-US" w:eastAsia="zh-CN" w:bidi="ar-SA"/>
              </w:rPr>
            </w:pPr>
            <w:r>
              <w:rPr>
                <w:rFonts w:hint="eastAsia" w:ascii="宋体" w:hAnsi="宋体" w:cs="宋体"/>
                <w:b/>
                <w:bCs/>
                <w:kern w:val="2"/>
                <w:sz w:val="21"/>
                <w:szCs w:val="21"/>
                <w:lang w:val="en-US" w:eastAsia="zh-CN" w:bidi="zh-CN"/>
              </w:rPr>
              <w:t>2.</w:t>
            </w:r>
            <w:r>
              <w:rPr>
                <w:rFonts w:hint="eastAsia" w:ascii="宋体" w:hAnsi="宋体" w:eastAsia="宋体" w:cs="宋体"/>
                <w:b/>
                <w:bCs/>
                <w:kern w:val="2"/>
                <w:sz w:val="21"/>
                <w:szCs w:val="21"/>
                <w:lang w:val="en-US" w:eastAsia="zh-CN" w:bidi="zh-CN"/>
              </w:rPr>
              <w:t>功能模块要求：</w:t>
            </w:r>
          </w:p>
          <w:tbl>
            <w:tblPr>
              <w:tblStyle w:val="13"/>
              <w:tblW w:w="4978" w:type="pct"/>
              <w:tblInd w:w="0" w:type="dxa"/>
              <w:tblLayout w:type="fixed"/>
              <w:tblCellMar>
                <w:top w:w="0" w:type="dxa"/>
                <w:left w:w="108" w:type="dxa"/>
                <w:bottom w:w="0" w:type="dxa"/>
                <w:right w:w="108" w:type="dxa"/>
              </w:tblCellMar>
            </w:tblPr>
            <w:tblGrid>
              <w:gridCol w:w="639"/>
              <w:gridCol w:w="1710"/>
              <w:gridCol w:w="5942"/>
            </w:tblGrid>
            <w:tr w14:paraId="2A06CD51">
              <w:tblPrEx>
                <w:tblCellMar>
                  <w:top w:w="0" w:type="dxa"/>
                  <w:left w:w="108" w:type="dxa"/>
                  <w:bottom w:w="0" w:type="dxa"/>
                  <w:right w:w="108" w:type="dxa"/>
                </w:tblCellMar>
              </w:tblPrEx>
              <w:trPr>
                <w:trHeight w:val="41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6E934A91">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val="en-US" w:eastAsia="zh-CN" w:bidi="ar"/>
                    </w:rPr>
                    <w:t>序号</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37A0667D">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val="en-US" w:eastAsia="zh-CN" w:bidi="ar"/>
                    </w:rPr>
                    <w:t>模块名称</w:t>
                  </w:r>
                </w:p>
              </w:tc>
              <w:tc>
                <w:tcPr>
                  <w:tcW w:w="3582" w:type="pct"/>
                  <w:tcBorders>
                    <w:top w:val="single" w:color="000000" w:sz="4" w:space="0"/>
                    <w:left w:val="single" w:color="000000" w:sz="4" w:space="0"/>
                    <w:bottom w:val="single" w:color="000000" w:sz="4" w:space="0"/>
                    <w:right w:val="single" w:color="000000" w:sz="4" w:space="0"/>
                  </w:tcBorders>
                  <w:noWrap/>
                  <w:vAlign w:val="center"/>
                </w:tcPr>
                <w:p w14:paraId="376A8236">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val="en-US" w:eastAsia="zh-CN" w:bidi="ar"/>
                    </w:rPr>
                    <w:t>具体要求</w:t>
                  </w:r>
                </w:p>
              </w:tc>
            </w:tr>
            <w:tr w14:paraId="70EBF0E2">
              <w:tblPrEx>
                <w:tblCellMar>
                  <w:top w:w="0" w:type="dxa"/>
                  <w:left w:w="108" w:type="dxa"/>
                  <w:bottom w:w="0" w:type="dxa"/>
                  <w:right w:w="108" w:type="dxa"/>
                </w:tblCellMar>
              </w:tblPrEx>
              <w:trPr>
                <w:trHeight w:val="114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28D46915">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1</w:t>
                  </w:r>
                </w:p>
              </w:tc>
              <w:tc>
                <w:tcPr>
                  <w:tcW w:w="1031" w:type="pct"/>
                  <w:tcBorders>
                    <w:top w:val="single" w:color="000000" w:sz="4" w:space="0"/>
                    <w:left w:val="single" w:color="000000" w:sz="4" w:space="0"/>
                    <w:bottom w:val="single" w:color="000000" w:sz="4" w:space="0"/>
                    <w:right w:val="single" w:color="000000" w:sz="4" w:space="0"/>
                  </w:tcBorders>
                  <w:noWrap w:val="0"/>
                  <w:vAlign w:val="center"/>
                </w:tcPr>
                <w:p w14:paraId="5057FC98">
                  <w:pPr>
                    <w:keepNext w:val="0"/>
                    <w:keepLines w:val="0"/>
                    <w:pageBreakBefore w:val="0"/>
                    <w:widowControl/>
                    <w:kinsoku/>
                    <w:overflowPunct/>
                    <w:bidi w:val="0"/>
                    <w:adjustRightInd w:val="0"/>
                    <w:snapToGrid w:val="0"/>
                    <w:spacing w:line="240" w:lineRule="auto"/>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合同门户</w:t>
                  </w:r>
                </w:p>
              </w:tc>
              <w:tc>
                <w:tcPr>
                  <w:tcW w:w="3582" w:type="pct"/>
                  <w:tcBorders>
                    <w:top w:val="single" w:color="000000" w:sz="4" w:space="0"/>
                    <w:left w:val="single" w:color="000000" w:sz="4" w:space="0"/>
                    <w:bottom w:val="single" w:color="000000" w:sz="4" w:space="0"/>
                    <w:right w:val="single" w:color="000000" w:sz="4" w:space="0"/>
                  </w:tcBorders>
                  <w:noWrap w:val="0"/>
                  <w:vAlign w:val="center"/>
                </w:tcPr>
                <w:p w14:paraId="2EDBAA2D">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lang w:val="en-US" w:eastAsia="zh-CN" w:bidi="ar"/>
                    </w:rPr>
                    <w:t>按角色设计专属工作界面，信息一览无余，操作一步直达，按</w:t>
                  </w:r>
                  <w:r>
                    <w:rPr>
                      <w:rFonts w:hint="eastAsia" w:ascii="宋体" w:hAnsi="宋体" w:eastAsia="宋体" w:cs="宋体"/>
                      <w:kern w:val="0"/>
                      <w:sz w:val="21"/>
                      <w:szCs w:val="21"/>
                      <w:highlight w:val="none"/>
                      <w:lang w:val="en-US" w:eastAsia="zh-CN" w:bidi="ar"/>
                    </w:rPr>
                    <w:t>角色预置各类门户，聚合各类角色关注的信息，提供统一的信息窗口和工作界面：</w:t>
                  </w:r>
                </w:p>
                <w:p w14:paraId="20C52AC2">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1</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高层领导门户：支持合同关键指标数据分析，比如合同的签订总额、合同首付款情况、风险预警情况、重点关注合同的执行情况等。</w:t>
                  </w:r>
                </w:p>
                <w:p w14:paraId="3C4522F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2.</w:t>
                  </w:r>
                  <w:r>
                    <w:rPr>
                      <w:rFonts w:hint="eastAsia" w:ascii="宋体" w:hAnsi="宋体" w:eastAsia="宋体" w:cs="宋体"/>
                      <w:kern w:val="0"/>
                      <w:sz w:val="21"/>
                      <w:szCs w:val="21"/>
                      <w:highlight w:val="none"/>
                      <w:lang w:val="en-US" w:eastAsia="zh-CN" w:bidi="ar"/>
                    </w:rPr>
                    <w:t>合同管理员门户：支持查询展示</w:t>
                  </w:r>
                  <w:r>
                    <w:rPr>
                      <w:rFonts w:hint="eastAsia" w:ascii="宋体" w:hAnsi="宋体" w:eastAsia="宋体" w:cs="Times New Roman"/>
                      <w:kern w:val="2"/>
                      <w:szCs w:val="21"/>
                      <w:highlight w:val="none"/>
                      <w:lang w:val="en-US" w:eastAsia="zh-CN" w:bidi="ar-SA"/>
                    </w:rPr>
                    <w:t>采购人</w:t>
                  </w:r>
                  <w:r>
                    <w:rPr>
                      <w:rFonts w:hint="eastAsia" w:ascii="宋体" w:hAnsi="宋体" w:eastAsia="宋体" w:cs="宋体"/>
                      <w:kern w:val="0"/>
                      <w:sz w:val="21"/>
                      <w:szCs w:val="21"/>
                      <w:highlight w:val="none"/>
                      <w:lang w:val="en-US" w:eastAsia="zh-CN" w:bidi="ar"/>
                    </w:rPr>
                    <w:t>历年合同的签订总额、合同首付款情况、风险预警情况、重点关注合同的执行情况、合同涉诉讼情况、合同逾期情况等。</w:t>
                  </w:r>
                </w:p>
                <w:p w14:paraId="5CE7F55B">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3</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部门领导门户：支持直接审核处理合同、法务相关需求审核处理的</w:t>
                  </w:r>
                  <w:r>
                    <w:rPr>
                      <w:rFonts w:hint="eastAsia" w:ascii="宋体" w:hAnsi="宋体" w:eastAsia="宋体" w:cs="宋体"/>
                      <w:kern w:val="0"/>
                      <w:sz w:val="21"/>
                      <w:szCs w:val="21"/>
                      <w:lang w:val="en-US" w:eastAsia="zh-CN" w:bidi="ar"/>
                    </w:rPr>
                    <w:t>事项，直接查看本部门签订的合同情况、重点关注的合同执行及风险预警情况，了解员工事项的办理进展情况。</w:t>
                  </w:r>
                </w:p>
                <w:p w14:paraId="398CB94B">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普通员工门户：支持快速申请经办事项，直接查看本人经办的合同情况，快速出现风险的合同情况，及时了解相对方的情况。</w:t>
                  </w:r>
                </w:p>
              </w:tc>
            </w:tr>
            <w:tr w14:paraId="3862DA91">
              <w:tblPrEx>
                <w:tblCellMar>
                  <w:top w:w="0" w:type="dxa"/>
                  <w:left w:w="108" w:type="dxa"/>
                  <w:bottom w:w="0" w:type="dxa"/>
                  <w:right w:w="108" w:type="dxa"/>
                </w:tblCellMar>
              </w:tblPrEx>
              <w:trPr>
                <w:trHeight w:val="1124"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3EDA800B">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729E790C">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相对方管理</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18F98365">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支持录入多条财务信息，录入多个单位的联系人信息；</w:t>
                  </w:r>
                </w:p>
                <w:p w14:paraId="44A15A71">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支持一键查看合作方与</w:t>
                  </w:r>
                  <w:r>
                    <w:rPr>
                      <w:rFonts w:hint="eastAsia" w:ascii="宋体" w:hAnsi="宋体" w:eastAsia="宋体" w:cs="Times New Roman"/>
                      <w:kern w:val="2"/>
                      <w:szCs w:val="21"/>
                      <w:highlight w:val="none"/>
                      <w:lang w:val="en-US" w:eastAsia="zh-CN" w:bidi="ar-SA"/>
                    </w:rPr>
                    <w:t>采购</w:t>
                  </w:r>
                  <w:r>
                    <w:rPr>
                      <w:rFonts w:hint="eastAsia" w:ascii="宋体" w:hAnsi="宋体" w:eastAsia="宋体" w:cs="宋体"/>
                      <w:kern w:val="0"/>
                      <w:sz w:val="21"/>
                      <w:szCs w:val="21"/>
                      <w:lang w:val="en-US" w:eastAsia="zh-CN" w:bidi="ar"/>
                    </w:rPr>
                    <w:t>单位签订的合同记录；</w:t>
                  </w:r>
                </w:p>
                <w:p w14:paraId="142390BB">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支持通过证件号码来校验数据，避免不同人员重复录入信息；</w:t>
                  </w:r>
                </w:p>
                <w:p w14:paraId="261B965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支持指定人员更新合作企业的征信，审查和记录合作方的资质。</w:t>
                  </w:r>
                </w:p>
              </w:tc>
            </w:tr>
            <w:tr w14:paraId="233AE394">
              <w:tblPrEx>
                <w:tblCellMar>
                  <w:top w:w="0" w:type="dxa"/>
                  <w:left w:w="108" w:type="dxa"/>
                  <w:bottom w:w="0" w:type="dxa"/>
                  <w:right w:w="108" w:type="dxa"/>
                </w:tblCellMar>
              </w:tblPrEx>
              <w:trPr>
                <w:trHeight w:val="1124"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65D2E112">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3</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16D1F646">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合同准备</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52DB64B4">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w:t>
                  </w:r>
                  <w:r>
                    <w:rPr>
                      <w:rFonts w:hint="eastAsia" w:ascii="宋体" w:hAnsi="宋体" w:eastAsia="宋体" w:cs="宋体"/>
                      <w:kern w:val="0"/>
                      <w:sz w:val="21"/>
                      <w:szCs w:val="21"/>
                      <w:highlight w:val="none"/>
                      <w:lang w:val="en-US" w:eastAsia="zh-CN" w:bidi="ar"/>
                    </w:rPr>
                    <w:t>支持自定义合同编号；</w:t>
                  </w:r>
                </w:p>
                <w:p w14:paraId="66606CAD">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2.</w:t>
                  </w:r>
                  <w:r>
                    <w:rPr>
                      <w:rFonts w:hint="eastAsia" w:ascii="宋体" w:hAnsi="宋体" w:eastAsia="宋体" w:cs="宋体"/>
                      <w:kern w:val="0"/>
                      <w:sz w:val="21"/>
                      <w:szCs w:val="21"/>
                      <w:highlight w:val="none"/>
                      <w:lang w:val="en-US" w:eastAsia="zh-CN" w:bidi="ar"/>
                    </w:rPr>
                    <w:t>支持根据合同范本管理；</w:t>
                  </w:r>
                </w:p>
                <w:p w14:paraId="7702D60D">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3.</w:t>
                  </w:r>
                  <w:r>
                    <w:rPr>
                      <w:rFonts w:hint="eastAsia" w:ascii="宋体" w:hAnsi="宋体" w:eastAsia="宋体" w:cs="宋体"/>
                      <w:kern w:val="0"/>
                      <w:sz w:val="21"/>
                      <w:szCs w:val="21"/>
                      <w:highlight w:val="none"/>
                      <w:lang w:val="en-US" w:eastAsia="zh-CN" w:bidi="ar"/>
                    </w:rPr>
                    <w:t>支持相对合作方信息查询，要有合作供应商黑名单，形成前置查询；</w:t>
                  </w:r>
                </w:p>
                <w:p w14:paraId="77D9347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b/>
                      <w:bCs/>
                      <w:color w:val="000000"/>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4</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支持法务合作单位信息的录入，包括基本信息、资质授权、历史业绩、擅长领域等信息的管理；</w:t>
                  </w:r>
                </w:p>
                <w:p w14:paraId="1BC857A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5.</w:t>
                  </w:r>
                  <w:r>
                    <w:rPr>
                      <w:rFonts w:hint="eastAsia" w:ascii="宋体" w:hAnsi="宋体" w:eastAsia="宋体" w:cs="宋体"/>
                      <w:kern w:val="0"/>
                      <w:sz w:val="21"/>
                      <w:szCs w:val="21"/>
                      <w:highlight w:val="none"/>
                      <w:lang w:val="en-US" w:eastAsia="zh-CN" w:bidi="ar"/>
                    </w:rPr>
                    <w:t>支持上传合同准备签订前资料上传，特别针对重大合同要求作为必要项。</w:t>
                  </w:r>
                </w:p>
                <w:p w14:paraId="17B2CF6A">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6</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支持提供合同相对方信息、合同类别、条款、标准合同文本的引用；</w:t>
                  </w:r>
                </w:p>
                <w:p w14:paraId="06B6155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7.</w:t>
                  </w:r>
                  <w:r>
                    <w:rPr>
                      <w:rFonts w:hint="eastAsia" w:ascii="宋体" w:hAnsi="宋体" w:eastAsia="宋体" w:cs="宋体"/>
                      <w:kern w:val="0"/>
                      <w:sz w:val="21"/>
                      <w:szCs w:val="21"/>
                      <w:highlight w:val="none"/>
                      <w:lang w:val="en-US" w:eastAsia="zh-CN" w:bidi="ar"/>
                    </w:rPr>
                    <w:t>支持提供与组织、人员、相对方、业务相关的历史数据、法规、征信等信息；</w:t>
                  </w:r>
                </w:p>
                <w:p w14:paraId="20175CC1">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8.</w:t>
                  </w:r>
                  <w:r>
                    <w:rPr>
                      <w:rFonts w:hint="eastAsia" w:ascii="宋体" w:hAnsi="宋体" w:eastAsia="宋体" w:cs="宋体"/>
                      <w:kern w:val="0"/>
                      <w:sz w:val="21"/>
                      <w:szCs w:val="21"/>
                      <w:highlight w:val="none"/>
                      <w:lang w:val="en-US" w:eastAsia="zh-CN" w:bidi="ar"/>
                    </w:rPr>
                    <w:t>支持调用供应商库信息，自动读取相对合作方信息；</w:t>
                  </w:r>
                </w:p>
                <w:p w14:paraId="367E441E">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9</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支持合同发起前，引入合作相对方企业征信，系统自动调取相对方征信查询信息。</w:t>
                  </w:r>
                </w:p>
                <w:p w14:paraId="63462722">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10.</w:t>
                  </w:r>
                  <w:r>
                    <w:rPr>
                      <w:rFonts w:hint="eastAsia" w:ascii="宋体" w:hAnsi="宋体" w:eastAsia="宋体" w:cs="宋体"/>
                      <w:kern w:val="0"/>
                      <w:sz w:val="21"/>
                      <w:szCs w:val="21"/>
                      <w:highlight w:val="none"/>
                      <w:lang w:val="en-US" w:eastAsia="zh-CN" w:bidi="ar"/>
                    </w:rPr>
                    <w:t>支持</w:t>
                  </w:r>
                  <w:r>
                    <w:rPr>
                      <w:rFonts w:hint="eastAsia" w:ascii="宋体" w:hAnsi="宋体" w:eastAsia="宋体" w:cs="Times New Roman"/>
                      <w:kern w:val="2"/>
                      <w:szCs w:val="21"/>
                      <w:highlight w:val="none"/>
                      <w:lang w:val="en-US" w:eastAsia="zh-CN" w:bidi="ar-SA"/>
                    </w:rPr>
                    <w:t>查询</w:t>
                  </w:r>
                  <w:r>
                    <w:rPr>
                      <w:rFonts w:hint="eastAsia" w:ascii="宋体" w:hAnsi="宋体" w:eastAsia="宋体" w:cs="宋体"/>
                      <w:kern w:val="0"/>
                      <w:sz w:val="21"/>
                      <w:szCs w:val="21"/>
                      <w:highlight w:val="none"/>
                      <w:lang w:val="en-US" w:eastAsia="zh-CN" w:bidi="ar"/>
                    </w:rPr>
                    <w:t>合作供应商的评价；</w:t>
                  </w:r>
                </w:p>
                <w:p w14:paraId="135AC9B1">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11.</w:t>
                  </w:r>
                  <w:r>
                    <w:rPr>
                      <w:rFonts w:hint="eastAsia" w:ascii="宋体" w:hAnsi="宋体" w:eastAsia="宋体" w:cs="宋体"/>
                      <w:kern w:val="0"/>
                      <w:sz w:val="21"/>
                      <w:szCs w:val="21"/>
                      <w:highlight w:val="none"/>
                      <w:lang w:val="en-US" w:eastAsia="zh-CN" w:bidi="ar"/>
                    </w:rPr>
                    <w:t>支持限制业务往来黑名单管理，根据需求对已经被拉入黑名单</w:t>
                  </w:r>
                  <w:r>
                    <w:rPr>
                      <w:rFonts w:hint="eastAsia" w:ascii="宋体" w:hAnsi="宋体" w:cs="宋体"/>
                      <w:kern w:val="0"/>
                      <w:sz w:val="21"/>
                      <w:szCs w:val="21"/>
                      <w:highlight w:val="none"/>
                      <w:lang w:val="en-US" w:eastAsia="zh-CN" w:bidi="ar"/>
                    </w:rPr>
                    <w:t>的</w:t>
                  </w:r>
                  <w:r>
                    <w:rPr>
                      <w:rFonts w:hint="eastAsia" w:ascii="宋体" w:hAnsi="宋体" w:eastAsia="宋体" w:cs="宋体"/>
                      <w:kern w:val="0"/>
                      <w:sz w:val="21"/>
                      <w:szCs w:val="21"/>
                      <w:highlight w:val="none"/>
                      <w:lang w:val="en-US" w:eastAsia="zh-CN" w:bidi="ar"/>
                    </w:rPr>
                    <w:t>单位限制其</w:t>
                  </w:r>
                  <w:r>
                    <w:rPr>
                      <w:rFonts w:hint="eastAsia" w:ascii="宋体" w:hAnsi="宋体" w:cs="宋体"/>
                      <w:kern w:val="0"/>
                      <w:sz w:val="21"/>
                      <w:szCs w:val="21"/>
                      <w:highlight w:val="none"/>
                      <w:lang w:val="en-US" w:eastAsia="zh-CN" w:bidi="ar"/>
                    </w:rPr>
                    <w:t>所有的</w:t>
                  </w:r>
                  <w:r>
                    <w:rPr>
                      <w:rFonts w:hint="eastAsia" w:ascii="宋体" w:hAnsi="宋体" w:eastAsia="宋体" w:cs="宋体"/>
                      <w:kern w:val="0"/>
                      <w:sz w:val="21"/>
                      <w:szCs w:val="21"/>
                      <w:highlight w:val="none"/>
                      <w:lang w:val="en-US" w:eastAsia="zh-CN" w:bidi="ar"/>
                    </w:rPr>
                    <w:t>业务往来。</w:t>
                  </w:r>
                </w:p>
              </w:tc>
            </w:tr>
            <w:tr w14:paraId="6409E1B1">
              <w:tblPrEx>
                <w:tblCellMar>
                  <w:top w:w="0" w:type="dxa"/>
                  <w:left w:w="108" w:type="dxa"/>
                  <w:bottom w:w="0" w:type="dxa"/>
                  <w:right w:w="108" w:type="dxa"/>
                </w:tblCellMar>
              </w:tblPrEx>
              <w:trPr>
                <w:trHeight w:val="2775"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3B5A7BBA">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3F88A360">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合同审批</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565442C1">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w:t>
                  </w:r>
                  <w:r>
                    <w:rPr>
                      <w:rFonts w:hint="eastAsia" w:ascii="宋体" w:hAnsi="宋体" w:eastAsia="宋体" w:cs="宋体"/>
                      <w:kern w:val="0"/>
                      <w:sz w:val="21"/>
                      <w:szCs w:val="21"/>
                      <w:highlight w:val="none"/>
                      <w:lang w:val="en-US" w:eastAsia="zh-CN" w:bidi="ar"/>
                    </w:rPr>
                    <w:t>支持经办人快捷新增合同的相对方，并从合作方库中选择签订合同的相对方信息；</w:t>
                  </w:r>
                </w:p>
                <w:p w14:paraId="675C80B7">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2.</w:t>
                  </w:r>
                  <w:r>
                    <w:rPr>
                      <w:rFonts w:hint="eastAsia" w:ascii="宋体" w:hAnsi="宋体" w:eastAsia="宋体" w:cs="宋体"/>
                      <w:kern w:val="0"/>
                      <w:sz w:val="21"/>
                      <w:szCs w:val="21"/>
                      <w:highlight w:val="none"/>
                      <w:lang w:val="en-US" w:eastAsia="zh-CN" w:bidi="ar"/>
                    </w:rPr>
                    <w:t>支持经办人从编号库中选择合同编号（编号中的流水自动自增）；</w:t>
                  </w:r>
                </w:p>
                <w:p w14:paraId="2DED3BEC">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3.</w:t>
                  </w:r>
                  <w:r>
                    <w:rPr>
                      <w:rFonts w:hint="eastAsia" w:ascii="宋体" w:hAnsi="宋体" w:eastAsia="宋体" w:cs="宋体"/>
                      <w:kern w:val="0"/>
                      <w:sz w:val="21"/>
                      <w:szCs w:val="21"/>
                      <w:highlight w:val="none"/>
                      <w:lang w:val="en-US" w:eastAsia="zh-CN" w:bidi="ar"/>
                    </w:rPr>
                    <w:t>支持设定合同的货币和本位货币，并通过录入的汇率自动转换为本位币金额；</w:t>
                  </w:r>
                </w:p>
                <w:p w14:paraId="68C6576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4.</w:t>
                  </w:r>
                  <w:r>
                    <w:rPr>
                      <w:rFonts w:hint="eastAsia" w:ascii="宋体" w:hAnsi="宋体" w:eastAsia="宋体" w:cs="宋体"/>
                      <w:kern w:val="0"/>
                      <w:sz w:val="21"/>
                      <w:szCs w:val="21"/>
                      <w:highlight w:val="none"/>
                      <w:lang w:val="en-US" w:eastAsia="zh-CN" w:bidi="ar"/>
                    </w:rPr>
                    <w:t>支持录入合同的收款或付款计划明细；</w:t>
                  </w:r>
                </w:p>
                <w:p w14:paraId="531C16C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5.</w:t>
                  </w:r>
                  <w:r>
                    <w:rPr>
                      <w:rFonts w:hint="eastAsia" w:ascii="宋体" w:hAnsi="宋体" w:eastAsia="宋体" w:cs="宋体"/>
                      <w:kern w:val="0"/>
                      <w:sz w:val="21"/>
                      <w:szCs w:val="21"/>
                      <w:highlight w:val="none"/>
                      <w:lang w:val="en-US" w:eastAsia="zh-CN" w:bidi="ar"/>
                    </w:rPr>
                    <w:t>支持经办人指定合同签订后除本人以外的合同执行人员；</w:t>
                  </w:r>
                </w:p>
                <w:p w14:paraId="676A51B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6、支持合同审批通过后勾选需要使用印章时，自动发起印章使用流程（免重复审批）。</w:t>
                  </w:r>
                </w:p>
              </w:tc>
            </w:tr>
            <w:tr w14:paraId="501A289F">
              <w:tblPrEx>
                <w:tblCellMar>
                  <w:top w:w="0" w:type="dxa"/>
                  <w:left w:w="108" w:type="dxa"/>
                  <w:bottom w:w="0" w:type="dxa"/>
                  <w:right w:w="108" w:type="dxa"/>
                </w:tblCellMar>
              </w:tblPrEx>
              <w:trPr>
                <w:trHeight w:val="166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63913AF1">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5</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0DBB817E">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合同执行</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1895BA3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1、支持对生效中的合同关联重新签订的补充协议并重新走审批流程。</w:t>
                  </w:r>
                </w:p>
                <w:p w14:paraId="0564618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2.</w:t>
                  </w:r>
                  <w:r>
                    <w:rPr>
                      <w:rFonts w:hint="eastAsia" w:ascii="宋体" w:hAnsi="宋体" w:eastAsia="宋体" w:cs="宋体"/>
                      <w:kern w:val="0"/>
                      <w:sz w:val="21"/>
                      <w:szCs w:val="21"/>
                      <w:highlight w:val="none"/>
                      <w:lang w:val="en-US" w:eastAsia="zh-CN" w:bidi="ar"/>
                    </w:rPr>
                    <w:t>支持对生效中的合同发起补充协议，作为原合同的补充；</w:t>
                  </w:r>
                </w:p>
                <w:p w14:paraId="5CB2321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3、支持到期收款/付款提醒、确认；支持各类收入或支出、保证金、履约金到期提醒、催收、收回确认，合同具体的履约要求管理，作为合同收付款时的履约依据；</w:t>
                  </w:r>
                </w:p>
                <w:p w14:paraId="597F9DF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4.</w:t>
                  </w:r>
                  <w:r>
                    <w:rPr>
                      <w:rFonts w:hint="eastAsia" w:ascii="宋体" w:hAnsi="宋体" w:eastAsia="宋体" w:cs="宋体"/>
                      <w:kern w:val="0"/>
                      <w:sz w:val="21"/>
                      <w:szCs w:val="21"/>
                      <w:highlight w:val="none"/>
                      <w:lang w:val="en-US" w:eastAsia="zh-CN" w:bidi="ar"/>
                    </w:rPr>
                    <w:t>支持按不同的合同管理人、业务负责人、预警条件，以消息、智能提醒等多种方式预警，支持双方履行义务提醒；</w:t>
                  </w:r>
                </w:p>
                <w:p w14:paraId="62BD2814">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highlight w:val="none"/>
                      <w:lang w:val="en-US" w:eastAsia="zh-CN" w:bidi="ar"/>
                    </w:rPr>
                    <w:t>5、支持合同风险类型、风险等级上报，进行合同风险处理；</w:t>
                  </w:r>
                </w:p>
                <w:p w14:paraId="52944B9C">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6.</w:t>
                  </w:r>
                  <w:r>
                    <w:rPr>
                      <w:rFonts w:hint="eastAsia" w:ascii="宋体" w:hAnsi="宋体" w:eastAsia="宋体" w:cs="宋体"/>
                      <w:kern w:val="0"/>
                      <w:sz w:val="21"/>
                      <w:szCs w:val="21"/>
                      <w:highlight w:val="none"/>
                      <w:lang w:val="en-US" w:eastAsia="zh-CN" w:bidi="ar"/>
                    </w:rPr>
                    <w:t>支持每月度、季度出统计报表，包括履约情况、预警合同报告等。</w:t>
                  </w:r>
                </w:p>
                <w:p w14:paraId="73763428">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7.</w:t>
                  </w:r>
                  <w:r>
                    <w:rPr>
                      <w:rFonts w:hint="eastAsia" w:ascii="宋体" w:hAnsi="宋体" w:eastAsia="宋体" w:cs="宋体"/>
                      <w:kern w:val="0"/>
                      <w:sz w:val="21"/>
                      <w:szCs w:val="21"/>
                      <w:highlight w:val="none"/>
                      <w:lang w:val="en-US" w:eastAsia="zh-CN" w:bidi="ar"/>
                    </w:rPr>
                    <w:t>支持各关键节点（比如货款支付凭证、仓储物流单据、收货单、发货单等）的补充录入。</w:t>
                  </w:r>
                </w:p>
                <w:p w14:paraId="29CD5454">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8.</w:t>
                  </w:r>
                  <w:r>
                    <w:rPr>
                      <w:rFonts w:hint="eastAsia" w:ascii="宋体" w:hAnsi="宋体" w:eastAsia="宋体" w:cs="宋体"/>
                      <w:kern w:val="0"/>
                      <w:sz w:val="21"/>
                      <w:szCs w:val="21"/>
                      <w:highlight w:val="none"/>
                      <w:lang w:val="en-US" w:eastAsia="zh-CN" w:bidi="ar"/>
                    </w:rPr>
                    <w:t>支持管理合同各个环节的材料，比如支付凭证</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highlight w:val="none"/>
                      <w:lang w:val="en-US" w:eastAsia="zh-CN" w:bidi="ar"/>
                    </w:rPr>
                    <w:t>按重大合同的要求上传证据材料）；</w:t>
                  </w:r>
                </w:p>
                <w:p w14:paraId="4EDFCA4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9.</w:t>
                  </w:r>
                  <w:r>
                    <w:rPr>
                      <w:rFonts w:hint="eastAsia" w:ascii="宋体" w:hAnsi="宋体" w:eastAsia="宋体" w:cs="宋体"/>
                      <w:kern w:val="0"/>
                      <w:sz w:val="21"/>
                      <w:szCs w:val="21"/>
                      <w:highlight w:val="none"/>
                      <w:lang w:val="en-US" w:eastAsia="zh-CN" w:bidi="ar"/>
                    </w:rPr>
                    <w:t>支持合同执行过程中，需要对合同内容进行变更时，由经办人员注明变更</w:t>
                  </w:r>
                  <w:r>
                    <w:rPr>
                      <w:rFonts w:hint="eastAsia" w:ascii="宋体" w:hAnsi="宋体" w:cs="宋体"/>
                      <w:kern w:val="0"/>
                      <w:sz w:val="21"/>
                      <w:szCs w:val="21"/>
                      <w:highlight w:val="none"/>
                      <w:lang w:val="en-US" w:eastAsia="zh-CN" w:bidi="ar"/>
                    </w:rPr>
                    <w:t>的</w:t>
                  </w:r>
                  <w:r>
                    <w:rPr>
                      <w:rFonts w:hint="eastAsia" w:ascii="宋体" w:hAnsi="宋体" w:eastAsia="宋体" w:cs="宋体"/>
                      <w:kern w:val="0"/>
                      <w:sz w:val="21"/>
                      <w:szCs w:val="21"/>
                      <w:highlight w:val="none"/>
                      <w:lang w:val="en-US" w:eastAsia="zh-CN" w:bidi="ar"/>
                    </w:rPr>
                    <w:t>内容（包含相对方、合同金额、合同期限、部分条款），上传变更后的合同文本发起审批，之后对合同档案信息进行更新。</w:t>
                  </w:r>
                </w:p>
                <w:p w14:paraId="5AF14AA7">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10.</w:t>
                  </w:r>
                  <w:r>
                    <w:rPr>
                      <w:rFonts w:hint="eastAsia" w:ascii="宋体" w:hAnsi="宋体" w:eastAsia="宋体" w:cs="宋体"/>
                      <w:kern w:val="0"/>
                      <w:sz w:val="21"/>
                      <w:szCs w:val="21"/>
                      <w:highlight w:val="none"/>
                      <w:lang w:val="en-US" w:eastAsia="zh-CN" w:bidi="ar"/>
                    </w:rPr>
                    <w:t>支持选择合同后，自动读取所选合同的履约保证金等信息，并根据需要选择保证金的收款单位；</w:t>
                  </w:r>
                </w:p>
                <w:p w14:paraId="1AC8D55A">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11.</w:t>
                  </w:r>
                  <w:r>
                    <w:rPr>
                      <w:rFonts w:hint="eastAsia" w:ascii="宋体" w:hAnsi="宋体" w:eastAsia="宋体" w:cs="宋体"/>
                      <w:kern w:val="0"/>
                      <w:sz w:val="21"/>
                      <w:szCs w:val="21"/>
                      <w:highlight w:val="none"/>
                      <w:lang w:val="en-US" w:eastAsia="zh-CN" w:bidi="ar"/>
                    </w:rPr>
                    <w:t>支持从合作方档案中选择收款单位的开户银行和银行账号；</w:t>
                  </w:r>
                </w:p>
                <w:p w14:paraId="09467898">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12.</w:t>
                  </w:r>
                  <w:r>
                    <w:rPr>
                      <w:rFonts w:hint="eastAsia" w:ascii="宋体" w:hAnsi="宋体" w:eastAsia="宋体" w:cs="宋体"/>
                      <w:kern w:val="0"/>
                      <w:sz w:val="21"/>
                      <w:szCs w:val="21"/>
                      <w:highlight w:val="none"/>
                      <w:lang w:val="en-US" w:eastAsia="zh-CN" w:bidi="ar"/>
                    </w:rPr>
                    <w:t>支持出纳在履约保证金退款时，逐笔记录付款明细，当退款完成时才能结束流程；</w:t>
                  </w:r>
                </w:p>
                <w:p w14:paraId="7852364C">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13.</w:t>
                  </w:r>
                  <w:r>
                    <w:rPr>
                      <w:rFonts w:hint="eastAsia" w:ascii="宋体" w:hAnsi="宋体" w:eastAsia="宋体" w:cs="宋体"/>
                      <w:kern w:val="0"/>
                      <w:sz w:val="21"/>
                      <w:szCs w:val="21"/>
                      <w:highlight w:val="none"/>
                      <w:lang w:val="en-US" w:eastAsia="zh-CN" w:bidi="ar"/>
                    </w:rPr>
                    <w:t>支持履约保证金退款完成后，自动存储履约保证金的退还日期到合同信息中。</w:t>
                  </w:r>
                </w:p>
              </w:tc>
            </w:tr>
            <w:tr w14:paraId="360C0AFB">
              <w:tblPrEx>
                <w:tblCellMar>
                  <w:top w:w="0" w:type="dxa"/>
                  <w:left w:w="108" w:type="dxa"/>
                  <w:bottom w:w="0" w:type="dxa"/>
                  <w:right w:w="108" w:type="dxa"/>
                </w:tblCellMar>
              </w:tblPrEx>
              <w:trPr>
                <w:trHeight w:val="111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210F9276">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11F71DA2">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合同档案管理</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2D7696E2">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支持各类合同按合同主体、业务内容等信息自动归档；</w:t>
                  </w:r>
                </w:p>
                <w:p w14:paraId="0011DDC4">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支持合同查询权限按不同单位、部门、岗位、角色、人员的授权；</w:t>
                  </w:r>
                </w:p>
                <w:p w14:paraId="30743AB9">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支持根据重大合同的规则自动归档重大合同。</w:t>
                  </w:r>
                </w:p>
                <w:p w14:paraId="52136EB8">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lang w:val="en-US" w:eastAsia="zh-CN" w:bidi="ar"/>
                    </w:rPr>
                    <w:t>4</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lang w:val="en-US" w:eastAsia="zh-CN" w:bidi="ar"/>
                    </w:rPr>
                    <w:t>支持主合同与子合同的关联，如在签订的子合同时可以</w:t>
                  </w:r>
                  <w:r>
                    <w:rPr>
                      <w:rFonts w:hint="eastAsia" w:ascii="宋体" w:hAnsi="宋体" w:cs="宋体"/>
                      <w:kern w:val="0"/>
                      <w:sz w:val="21"/>
                      <w:szCs w:val="21"/>
                      <w:lang w:val="en-US" w:eastAsia="zh-CN" w:bidi="ar"/>
                    </w:rPr>
                    <w:t>选择</w:t>
                  </w:r>
                  <w:r>
                    <w:rPr>
                      <w:rFonts w:hint="eastAsia" w:ascii="宋体" w:hAnsi="宋体" w:eastAsia="宋体" w:cs="宋体"/>
                      <w:kern w:val="0"/>
                      <w:sz w:val="21"/>
                      <w:szCs w:val="21"/>
                      <w:lang w:val="en-US" w:eastAsia="zh-CN" w:bidi="ar"/>
                    </w:rPr>
                    <w:t>关联主合同，子合同审批通过后支持生成独立的档案，且同时更新到对应的主合同档案中，可以互相查看合同信息。</w:t>
                  </w:r>
                </w:p>
                <w:p w14:paraId="0C70B7EC">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5.</w:t>
                  </w:r>
                  <w:r>
                    <w:rPr>
                      <w:rFonts w:hint="eastAsia" w:ascii="宋体" w:hAnsi="宋体" w:eastAsia="宋体" w:cs="宋体"/>
                      <w:kern w:val="0"/>
                      <w:sz w:val="21"/>
                      <w:szCs w:val="21"/>
                      <w:lang w:val="en-US" w:eastAsia="zh-CN" w:bidi="ar"/>
                    </w:rPr>
                    <w:t>支持直接补录既有执行中的合同，补录时可从合作方库中选择合同相对方；</w:t>
                  </w:r>
                </w:p>
                <w:p w14:paraId="5DD30223">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6.</w:t>
                  </w:r>
                  <w:r>
                    <w:rPr>
                      <w:rFonts w:hint="eastAsia" w:ascii="宋体" w:hAnsi="宋体" w:eastAsia="宋体" w:cs="宋体"/>
                      <w:kern w:val="0"/>
                      <w:sz w:val="21"/>
                      <w:szCs w:val="21"/>
                      <w:lang w:val="en-US" w:eastAsia="zh-CN" w:bidi="ar"/>
                    </w:rPr>
                    <w:t>支持在合同相对方明细中查看相对方的相关详细信息；</w:t>
                  </w:r>
                </w:p>
                <w:p w14:paraId="0933FBE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7.</w:t>
                  </w:r>
                  <w:r>
                    <w:rPr>
                      <w:rFonts w:hint="eastAsia" w:ascii="宋体" w:hAnsi="宋体" w:eastAsia="宋体" w:cs="宋体"/>
                      <w:kern w:val="0"/>
                      <w:sz w:val="21"/>
                      <w:szCs w:val="21"/>
                      <w:lang w:val="en-US" w:eastAsia="zh-CN" w:bidi="ar"/>
                    </w:rPr>
                    <w:t>支持查看合同开票或收票的明细记录；</w:t>
                  </w:r>
                </w:p>
                <w:p w14:paraId="4790E72D">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8.</w:t>
                  </w:r>
                  <w:r>
                    <w:rPr>
                      <w:rFonts w:hint="eastAsia" w:ascii="宋体" w:hAnsi="宋体" w:eastAsia="宋体" w:cs="宋体"/>
                      <w:kern w:val="0"/>
                      <w:sz w:val="21"/>
                      <w:szCs w:val="21"/>
                      <w:lang w:val="en-US" w:eastAsia="zh-CN" w:bidi="ar"/>
                    </w:rPr>
                    <w:t>支持编辑合同收款计划，并发起收款流程和查看收款记录；</w:t>
                  </w:r>
                </w:p>
                <w:p w14:paraId="56136DCE">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9.</w:t>
                  </w:r>
                  <w:r>
                    <w:rPr>
                      <w:rFonts w:hint="eastAsia" w:ascii="宋体" w:hAnsi="宋体" w:eastAsia="宋体" w:cs="宋体"/>
                      <w:kern w:val="0"/>
                      <w:sz w:val="21"/>
                      <w:szCs w:val="21"/>
                      <w:lang w:val="en-US" w:eastAsia="zh-CN" w:bidi="ar"/>
                    </w:rPr>
                    <w:t>支持编辑合同付款计划，并发起付款审批流程和查看付款记录；</w:t>
                  </w:r>
                </w:p>
                <w:p w14:paraId="60E295B7">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10.</w:t>
                  </w:r>
                  <w:r>
                    <w:rPr>
                      <w:rFonts w:hint="eastAsia" w:ascii="宋体" w:hAnsi="宋体" w:eastAsia="宋体" w:cs="宋体"/>
                      <w:kern w:val="0"/>
                      <w:sz w:val="21"/>
                      <w:szCs w:val="21"/>
                      <w:lang w:val="en-US" w:eastAsia="zh-CN" w:bidi="ar"/>
                    </w:rPr>
                    <w:t>支持查看合同补充、内容变更、状态变更的明细记录；</w:t>
                  </w:r>
                </w:p>
                <w:p w14:paraId="0B444506">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11.</w:t>
                  </w:r>
                  <w:r>
                    <w:rPr>
                      <w:rFonts w:hint="eastAsia" w:ascii="宋体" w:hAnsi="宋体" w:eastAsia="宋体" w:cs="宋体"/>
                      <w:kern w:val="0"/>
                      <w:sz w:val="21"/>
                      <w:szCs w:val="21"/>
                      <w:lang w:val="en-US" w:eastAsia="zh-CN" w:bidi="ar"/>
                    </w:rPr>
                    <w:t>支持合同的执行人员直接上传合同的相关附件；</w:t>
                  </w:r>
                </w:p>
              </w:tc>
            </w:tr>
            <w:tr w14:paraId="78C8C824">
              <w:tblPrEx>
                <w:tblCellMar>
                  <w:top w:w="0" w:type="dxa"/>
                  <w:left w:w="108" w:type="dxa"/>
                  <w:bottom w:w="0" w:type="dxa"/>
                  <w:right w:w="108" w:type="dxa"/>
                </w:tblCellMar>
              </w:tblPrEx>
              <w:trPr>
                <w:trHeight w:val="111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08EB26C2">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0648FDB6">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我的经办</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51EC1B6C">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支持员工可自行补录由本人经办合同的信息，上传合同的相关附件；按权限修改本人经办与执行合同的部分信息。</w:t>
                  </w:r>
                </w:p>
                <w:p w14:paraId="7E725D7B">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支持员工上传和维护本人所编制或经办的合同模板或范本。</w:t>
                  </w:r>
                </w:p>
                <w:p w14:paraId="53895868">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支持员工登记本人所执行合同收到的票据信息，并进行数据维护。</w:t>
                  </w:r>
                </w:p>
                <w:p w14:paraId="66847D09">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支持员工登记并维护本人经办和联系的合作方的信息，允许员工指定合作方信息的查阅范围和指定维护人员。</w:t>
                  </w:r>
                </w:p>
              </w:tc>
            </w:tr>
            <w:tr w14:paraId="74E51E5A">
              <w:tblPrEx>
                <w:tblCellMar>
                  <w:top w:w="0" w:type="dxa"/>
                  <w:left w:w="108" w:type="dxa"/>
                  <w:bottom w:w="0" w:type="dxa"/>
                  <w:right w:w="108" w:type="dxa"/>
                </w:tblCellMar>
              </w:tblPrEx>
              <w:trPr>
                <w:trHeight w:val="111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62542E58">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787045E3">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我的记录</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12B159D4">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支持员工查询本人经办的合同变更记录。</w:t>
                  </w:r>
                </w:p>
                <w:p w14:paraId="104FD768">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支持员工查询本人经办的合同补充记录。</w:t>
                  </w:r>
                </w:p>
                <w:p w14:paraId="05AF4FF9">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支持员工查询本人经办的合同状态调整记录。</w:t>
                  </w:r>
                </w:p>
                <w:p w14:paraId="4298778F">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支持员工查询本人经办的合同履约总结记录。</w:t>
                  </w:r>
                </w:p>
                <w:p w14:paraId="1D873AD2">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5.</w:t>
                  </w:r>
                  <w:r>
                    <w:rPr>
                      <w:rFonts w:hint="eastAsia" w:ascii="宋体" w:hAnsi="宋体" w:eastAsia="宋体" w:cs="宋体"/>
                      <w:kern w:val="0"/>
                      <w:sz w:val="21"/>
                      <w:szCs w:val="21"/>
                      <w:lang w:val="en-US" w:eastAsia="zh-CN" w:bidi="ar"/>
                    </w:rPr>
                    <w:t>支持员工查询本人经办合同的收款计划及其完成情况。</w:t>
                  </w:r>
                </w:p>
                <w:p w14:paraId="7A9AF60A">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6.</w:t>
                  </w:r>
                  <w:r>
                    <w:rPr>
                      <w:rFonts w:hint="eastAsia" w:ascii="宋体" w:hAnsi="宋体" w:eastAsia="宋体" w:cs="宋体"/>
                      <w:kern w:val="0"/>
                      <w:sz w:val="21"/>
                      <w:szCs w:val="21"/>
                      <w:lang w:val="en-US" w:eastAsia="zh-CN" w:bidi="ar"/>
                    </w:rPr>
                    <w:t>支持员工查询本人经办合同的付款计划及其完成情况。</w:t>
                  </w:r>
                </w:p>
              </w:tc>
            </w:tr>
            <w:tr w14:paraId="16EED358">
              <w:tblPrEx>
                <w:tblCellMar>
                  <w:top w:w="0" w:type="dxa"/>
                  <w:left w:w="108" w:type="dxa"/>
                  <w:bottom w:w="0" w:type="dxa"/>
                  <w:right w:w="108" w:type="dxa"/>
                </w:tblCellMar>
              </w:tblPrEx>
              <w:trPr>
                <w:trHeight w:val="1110" w:hRule="atLeast"/>
              </w:trPr>
              <w:tc>
                <w:tcPr>
                  <w:tcW w:w="385" w:type="pct"/>
                  <w:tcBorders>
                    <w:top w:val="single" w:color="000000" w:sz="4" w:space="0"/>
                    <w:left w:val="single" w:color="000000" w:sz="4" w:space="0"/>
                    <w:bottom w:val="single" w:color="000000" w:sz="4" w:space="0"/>
                    <w:right w:val="single" w:color="000000" w:sz="4" w:space="0"/>
                  </w:tcBorders>
                  <w:noWrap/>
                  <w:vAlign w:val="center"/>
                </w:tcPr>
                <w:p w14:paraId="59F3DEAD">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9</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6DE85B8E">
                  <w:pPr>
                    <w:keepNext w:val="0"/>
                    <w:keepLines w:val="0"/>
                    <w:pageBreakBefore w:val="0"/>
                    <w:widowControl/>
                    <w:kinsoku/>
                    <w:overflowPunct/>
                    <w:bidi w:val="0"/>
                    <w:adjustRightInd w:val="0"/>
                    <w:snapToGrid w:val="0"/>
                    <w:spacing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bidi="ar"/>
                    </w:rPr>
                    <w:t>合同统计分析</w:t>
                  </w:r>
                </w:p>
              </w:tc>
              <w:tc>
                <w:tcPr>
                  <w:tcW w:w="3582" w:type="pct"/>
                  <w:tcBorders>
                    <w:top w:val="single" w:color="000000" w:sz="4" w:space="0"/>
                    <w:left w:val="single" w:color="000000" w:sz="4" w:space="0"/>
                    <w:bottom w:val="single" w:color="000000" w:sz="4" w:space="0"/>
                    <w:right w:val="single" w:color="000000" w:sz="4" w:space="0"/>
                  </w:tcBorders>
                  <w:noWrap w:val="0"/>
                  <w:vAlign w:val="bottom"/>
                </w:tcPr>
                <w:p w14:paraId="3F2B53F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支持合同各要素的统计分析</w:t>
                  </w:r>
                  <w:r>
                    <w:rPr>
                      <w:rFonts w:hint="eastAsia" w:ascii="宋体" w:hAnsi="宋体" w:cs="宋体"/>
                      <w:kern w:val="0"/>
                      <w:sz w:val="21"/>
                      <w:szCs w:val="21"/>
                      <w:lang w:val="en-US" w:eastAsia="zh-CN" w:bidi="ar"/>
                    </w:rPr>
                    <w:t>，</w:t>
                  </w:r>
                  <w:r>
                    <w:rPr>
                      <w:rFonts w:hint="eastAsia" w:ascii="宋体" w:hAnsi="宋体" w:eastAsia="宋体" w:cs="宋体"/>
                      <w:kern w:val="0"/>
                      <w:sz w:val="21"/>
                      <w:szCs w:val="21"/>
                      <w:lang w:val="en-US" w:eastAsia="zh-CN" w:bidi="ar"/>
                    </w:rPr>
                    <w:t>如逾期合同、重大合同、终止合同等。</w:t>
                  </w:r>
                </w:p>
                <w:p w14:paraId="240975FE">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eastAsia="宋体" w:cs="Courier New"/>
                      <w:kern w:val="2"/>
                      <w:szCs w:val="24"/>
                      <w:highlight w:val="none"/>
                      <w:lang w:val="en-US" w:eastAsia="zh-CN" w:bidi="ar-SA"/>
                    </w:rPr>
                    <w:t>●</w:t>
                  </w:r>
                  <w:r>
                    <w:rPr>
                      <w:rFonts w:hint="eastAsia" w:ascii="宋体" w:hAnsi="宋体" w:eastAsia="宋体" w:cs="宋体"/>
                      <w:kern w:val="0"/>
                      <w:sz w:val="21"/>
                      <w:szCs w:val="21"/>
                      <w:lang w:val="en-US" w:eastAsia="zh-CN" w:bidi="ar"/>
                    </w:rPr>
                    <w:t>2</w:t>
                  </w:r>
                  <w:r>
                    <w:rPr>
                      <w:rFonts w:hint="eastAsia" w:ascii="宋体" w:hAnsi="宋体" w:cs="宋体"/>
                      <w:kern w:val="0"/>
                      <w:sz w:val="21"/>
                      <w:szCs w:val="21"/>
                      <w:highlight w:val="none"/>
                      <w:lang w:val="en-US" w:eastAsia="zh-CN" w:bidi="ar"/>
                    </w:rPr>
                    <w:t>.</w:t>
                  </w:r>
                  <w:r>
                    <w:rPr>
                      <w:rFonts w:hint="eastAsia" w:ascii="宋体" w:hAnsi="宋体" w:eastAsia="宋体" w:cs="宋体"/>
                      <w:kern w:val="0"/>
                      <w:sz w:val="21"/>
                      <w:szCs w:val="21"/>
                      <w:lang w:val="en-US" w:eastAsia="zh-CN" w:bidi="ar"/>
                    </w:rPr>
                    <w:t>支持按合同收入或支出类统计分析，进行年度同比；</w:t>
                  </w:r>
                </w:p>
                <w:p w14:paraId="245DF4E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支持提供各类合同资金收付统计情况一览表；</w:t>
                  </w:r>
                </w:p>
                <w:p w14:paraId="3F7B5B87">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支持按不同单位、部门、岗位、角色、人员的查询授权。</w:t>
                  </w:r>
                </w:p>
                <w:p w14:paraId="4EAB4CB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5.</w:t>
                  </w:r>
                  <w:r>
                    <w:rPr>
                      <w:rFonts w:hint="eastAsia" w:ascii="宋体" w:hAnsi="宋体" w:eastAsia="宋体" w:cs="宋体"/>
                      <w:kern w:val="0"/>
                      <w:sz w:val="21"/>
                      <w:szCs w:val="21"/>
                      <w:lang w:val="en-US" w:eastAsia="zh-CN" w:bidi="ar"/>
                    </w:rPr>
                    <w:t>支持不同合同类别的待办审批，实时跟踪合同的处理情况；</w:t>
                  </w:r>
                </w:p>
                <w:p w14:paraId="60C9BD3A">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6.</w:t>
                  </w:r>
                  <w:r>
                    <w:rPr>
                      <w:rFonts w:hint="eastAsia" w:ascii="宋体" w:hAnsi="宋体" w:eastAsia="宋体" w:cs="宋体"/>
                      <w:kern w:val="0"/>
                      <w:sz w:val="21"/>
                      <w:szCs w:val="21"/>
                      <w:lang w:val="en-US" w:eastAsia="zh-CN" w:bidi="ar"/>
                    </w:rPr>
                    <w:t>支持快速选择合同类流程模板的调用；</w:t>
                  </w:r>
                </w:p>
                <w:p w14:paraId="50AFAE5A">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7.</w:t>
                  </w:r>
                  <w:r>
                    <w:rPr>
                      <w:rFonts w:hint="eastAsia" w:ascii="宋体" w:hAnsi="宋体" w:eastAsia="宋体" w:cs="宋体"/>
                      <w:kern w:val="0"/>
                      <w:sz w:val="21"/>
                      <w:szCs w:val="21"/>
                      <w:lang w:val="en-US" w:eastAsia="zh-CN" w:bidi="ar"/>
                    </w:rPr>
                    <w:t>支持最新、最常用的合同类法规呈现及模糊搜索；</w:t>
                  </w:r>
                </w:p>
                <w:p w14:paraId="54BADC30">
                  <w:pPr>
                    <w:keepNext w:val="0"/>
                    <w:keepLines w:val="0"/>
                    <w:pageBreakBefore w:val="0"/>
                    <w:widowControl/>
                    <w:kinsoku/>
                    <w:overflowPunct/>
                    <w:bidi w:val="0"/>
                    <w:adjustRightInd w:val="0"/>
                    <w:snapToGrid w:val="0"/>
                    <w:spacing w:line="240" w:lineRule="auto"/>
                    <w:jc w:val="left"/>
                    <w:textAlignment w:val="bottom"/>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8.</w:t>
                  </w:r>
                  <w:r>
                    <w:rPr>
                      <w:rFonts w:hint="eastAsia" w:ascii="宋体" w:hAnsi="宋体" w:eastAsia="宋体" w:cs="宋体"/>
                      <w:kern w:val="0"/>
                      <w:sz w:val="21"/>
                      <w:szCs w:val="21"/>
                      <w:lang w:val="en-US" w:eastAsia="zh-CN" w:bidi="ar"/>
                    </w:rPr>
                    <w:t>支持各类合同执行情况分析，包括资金收支、履约情况、纠纷处理等综合分析。</w:t>
                  </w:r>
                </w:p>
              </w:tc>
            </w:tr>
          </w:tbl>
          <w:p w14:paraId="4323DEBE">
            <w:pPr>
              <w:pStyle w:val="10"/>
              <w:keepNext w:val="0"/>
              <w:keepLines w:val="0"/>
              <w:pageBreakBefore w:val="0"/>
              <w:kinsoku/>
              <w:overflowPunct/>
              <w:autoSpaceDE w:val="0"/>
              <w:autoSpaceDN w:val="0"/>
              <w:bidi w:val="0"/>
              <w:adjustRightInd w:val="0"/>
              <w:snapToGrid w:val="0"/>
              <w:spacing w:line="240" w:lineRule="auto"/>
              <w:rPr>
                <w:rFonts w:hint="eastAsia" w:ascii="宋体" w:hAnsi="宋体" w:eastAsia="宋体" w:cs="宋体"/>
                <w:sz w:val="21"/>
                <w:szCs w:val="21"/>
                <w:lang w:bidi="zh-CN"/>
              </w:rPr>
            </w:pPr>
            <w:r>
              <w:rPr>
                <w:rFonts w:hint="eastAsia" w:ascii="宋体" w:hAnsi="宋体" w:cs="宋体"/>
                <w:b/>
                <w:bCs/>
                <w:sz w:val="21"/>
                <w:szCs w:val="21"/>
                <w:lang w:bidi="zh-CN"/>
              </w:rPr>
              <w:t>3.</w:t>
            </w:r>
            <w:r>
              <w:rPr>
                <w:rFonts w:hint="eastAsia" w:ascii="宋体" w:hAnsi="宋体" w:eastAsia="宋体" w:cs="宋体"/>
                <w:b/>
                <w:bCs/>
                <w:sz w:val="21"/>
                <w:szCs w:val="21"/>
                <w:lang w:bidi="zh-CN"/>
              </w:rPr>
              <w:t>其他技术要求：</w:t>
            </w:r>
          </w:p>
          <w:p w14:paraId="46DB917C">
            <w:pPr>
              <w:pStyle w:val="10"/>
              <w:keepNext w:val="0"/>
              <w:keepLines w:val="0"/>
              <w:pageBreakBefore w:val="0"/>
              <w:kinsoku/>
              <w:overflowPunct/>
              <w:autoSpaceDE w:val="0"/>
              <w:autoSpaceDN w:val="0"/>
              <w:bidi w:val="0"/>
              <w:adjustRightInd w:val="0"/>
              <w:snapToGrid w:val="0"/>
              <w:spacing w:line="240" w:lineRule="auto"/>
              <w:rPr>
                <w:rFonts w:hint="eastAsia" w:ascii="宋体" w:hAnsi="宋体" w:eastAsia="宋体" w:cs="宋体"/>
                <w:sz w:val="21"/>
                <w:szCs w:val="21"/>
                <w:highlight w:val="none"/>
                <w:lang w:bidi="ar"/>
              </w:rPr>
            </w:pPr>
            <w:r>
              <w:rPr>
                <w:rFonts w:hint="eastAsia" w:ascii="宋体" w:hAnsi="宋体" w:eastAsia="宋体" w:cs="宋体"/>
                <w:kern w:val="0"/>
                <w:sz w:val="21"/>
                <w:szCs w:val="21"/>
                <w:lang w:bidi="ar"/>
              </w:rPr>
              <w:t>▲</w:t>
            </w:r>
            <w:r>
              <w:rPr>
                <w:rFonts w:hint="eastAsia" w:ascii="宋体" w:hAnsi="宋体" w:eastAsia="宋体" w:cs="宋体"/>
                <w:sz w:val="21"/>
                <w:szCs w:val="21"/>
                <w:lang w:bidi="zh-CN"/>
              </w:rPr>
              <w:t>（1）</w:t>
            </w:r>
            <w:r>
              <w:rPr>
                <w:rFonts w:hint="eastAsia" w:ascii="宋体" w:hAnsi="宋体" w:eastAsia="宋体" w:cs="宋体"/>
                <w:kern w:val="0"/>
                <w:sz w:val="21"/>
                <w:szCs w:val="21"/>
                <w:lang w:bidi="ar"/>
              </w:rPr>
              <w:t>等保要求</w:t>
            </w:r>
            <w:r>
              <w:rPr>
                <w:rFonts w:hint="eastAsia" w:ascii="宋体" w:hAnsi="宋体" w:eastAsia="宋体" w:cs="宋体"/>
                <w:sz w:val="21"/>
                <w:szCs w:val="21"/>
                <w:highlight w:val="none"/>
                <w:lang w:bidi="zh-CN"/>
              </w:rPr>
              <w:t>：</w:t>
            </w:r>
            <w:r>
              <w:rPr>
                <w:rFonts w:hint="eastAsia" w:ascii="宋体" w:hAnsi="宋体" w:eastAsia="宋体" w:cs="宋体"/>
                <w:kern w:val="0"/>
                <w:sz w:val="21"/>
                <w:szCs w:val="21"/>
                <w:highlight w:val="none"/>
                <w:lang w:bidi="ar"/>
              </w:rPr>
              <w:t>按照国家信息安全等级保护的相关要求，平台应满足三级等保要求。</w:t>
            </w:r>
          </w:p>
          <w:p w14:paraId="4E7663FF">
            <w:pPr>
              <w:keepNext w:val="0"/>
              <w:keepLines w:val="0"/>
              <w:pageBreakBefore w:val="0"/>
              <w:widowControl w:val="0"/>
              <w:numPr>
                <w:ilvl w:val="0"/>
                <w:numId w:val="1"/>
              </w:numPr>
              <w:kinsoku/>
              <w:overflowPunct/>
              <w:autoSpaceDE w:val="0"/>
              <w:autoSpaceDN w:val="0"/>
              <w:bidi w:val="0"/>
              <w:adjustRightInd w:val="0"/>
              <w:snapToGrid w:val="0"/>
              <w:spacing w:line="240" w:lineRule="auto"/>
              <w:ind w:firstLine="210" w:firstLineChars="100"/>
              <w:jc w:val="both"/>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中标人提供一年免费运维期。</w:t>
            </w:r>
          </w:p>
          <w:p w14:paraId="33A4ABF1">
            <w:pPr>
              <w:keepNext w:val="0"/>
              <w:keepLines w:val="0"/>
              <w:pageBreakBefore w:val="0"/>
              <w:widowControl w:val="0"/>
              <w:numPr>
                <w:ilvl w:val="0"/>
                <w:numId w:val="1"/>
              </w:numPr>
              <w:kinsoku/>
              <w:overflowPunct/>
              <w:autoSpaceDE w:val="0"/>
              <w:autoSpaceDN w:val="0"/>
              <w:bidi w:val="0"/>
              <w:adjustRightInd w:val="0"/>
              <w:snapToGrid w:val="0"/>
              <w:spacing w:line="240" w:lineRule="auto"/>
              <w:ind w:firstLine="210" w:firstLineChars="100"/>
              <w:jc w:val="both"/>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系统建成后，需在信创环境运行。</w:t>
            </w:r>
          </w:p>
          <w:p w14:paraId="248873B1">
            <w:pPr>
              <w:keepNext w:val="0"/>
              <w:keepLines w:val="0"/>
              <w:pageBreakBefore w:val="0"/>
              <w:widowControl w:val="0"/>
              <w:kinsoku/>
              <w:overflowPunct/>
              <w:autoSpaceDE w:val="0"/>
              <w:autoSpaceDN w:val="0"/>
              <w:bidi w:val="0"/>
              <w:adjustRightInd w:val="0"/>
              <w:snapToGrid w:val="0"/>
              <w:spacing w:line="240" w:lineRule="auto"/>
              <w:ind w:firstLine="210" w:firstLineChars="100"/>
              <w:jc w:val="both"/>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（4）系统能与</w:t>
            </w:r>
            <w:r>
              <w:rPr>
                <w:rFonts w:hint="eastAsia" w:ascii="宋体" w:hAnsi="宋体" w:eastAsia="宋体" w:cs="Times New Roman"/>
                <w:kern w:val="2"/>
                <w:sz w:val="21"/>
                <w:szCs w:val="21"/>
                <w:highlight w:val="none"/>
                <w:lang w:val="en-US" w:eastAsia="zh-CN" w:bidi="ar-SA"/>
              </w:rPr>
              <w:t>采购人</w:t>
            </w:r>
            <w:r>
              <w:rPr>
                <w:rFonts w:hint="eastAsia" w:ascii="宋体" w:hAnsi="宋体" w:eastAsia="宋体" w:cs="宋体"/>
                <w:kern w:val="0"/>
                <w:sz w:val="21"/>
                <w:szCs w:val="21"/>
                <w:highlight w:val="none"/>
                <w:lang w:val="en-US" w:eastAsia="zh-CN" w:bidi="ar"/>
              </w:rPr>
              <w:t>现使用办公平台的办文办会及公司文档模块无缝连接，作为合同管理的关联依据，做到数据互联互通，实现全过程管理。</w:t>
            </w:r>
          </w:p>
          <w:p w14:paraId="6BEE3ED5">
            <w:pPr>
              <w:keepNext w:val="0"/>
              <w:keepLines w:val="0"/>
              <w:pageBreakBefore w:val="0"/>
              <w:widowControl w:val="0"/>
              <w:kinsoku/>
              <w:overflowPunct/>
              <w:autoSpaceDE w:val="0"/>
              <w:autoSpaceDN w:val="0"/>
              <w:bidi w:val="0"/>
              <w:adjustRightInd w:val="0"/>
              <w:snapToGrid w:val="0"/>
              <w:spacing w:line="240" w:lineRule="auto"/>
              <w:ind w:firstLine="210" w:firstLineChars="100"/>
              <w:jc w:val="both"/>
              <w:rPr>
                <w:rFonts w:hint="eastAsia" w:ascii="宋体" w:hAnsi="宋体" w:eastAsia="宋体" w:cs="Tahoma"/>
                <w:kern w:val="2"/>
                <w:sz w:val="21"/>
                <w:szCs w:val="21"/>
                <w:lang w:val="en-US" w:eastAsia="zh-CN" w:bidi="ar-SA"/>
              </w:rPr>
            </w:pPr>
            <w:r>
              <w:rPr>
                <w:rFonts w:hint="eastAsia" w:ascii="宋体" w:hAnsi="宋体" w:eastAsia="宋体" w:cs="宋体"/>
                <w:b w:val="0"/>
                <w:bCs w:val="0"/>
                <w:kern w:val="0"/>
                <w:sz w:val="21"/>
                <w:szCs w:val="21"/>
                <w:highlight w:val="none"/>
                <w:lang w:val="en-US" w:eastAsia="zh-CN" w:bidi="ar"/>
              </w:rPr>
              <w:t>（5）系统能在</w:t>
            </w:r>
            <w:r>
              <w:rPr>
                <w:rFonts w:hint="eastAsia" w:ascii="宋体" w:hAnsi="宋体" w:eastAsia="宋体" w:cs="Times New Roman"/>
                <w:kern w:val="2"/>
                <w:sz w:val="21"/>
                <w:szCs w:val="21"/>
                <w:highlight w:val="none"/>
                <w:lang w:val="en-US" w:eastAsia="zh-CN" w:bidi="ar-SA"/>
              </w:rPr>
              <w:t>采购人</w:t>
            </w:r>
            <w:r>
              <w:rPr>
                <w:rFonts w:hint="eastAsia" w:ascii="宋体" w:hAnsi="宋体" w:eastAsia="宋体" w:cs="宋体"/>
                <w:b w:val="0"/>
                <w:bCs w:val="0"/>
                <w:kern w:val="0"/>
                <w:sz w:val="21"/>
                <w:szCs w:val="21"/>
                <w:highlight w:val="none"/>
                <w:lang w:val="en-US" w:eastAsia="zh-CN" w:bidi="ar"/>
              </w:rPr>
              <w:t>现使用的办公平台集成，建立统一办公、统一门户、统一代办提醒及流程审批减少多系统切换</w:t>
            </w:r>
            <w:r>
              <w:rPr>
                <w:rFonts w:hint="eastAsia" w:ascii="宋体" w:hAnsi="宋体" w:eastAsia="宋体" w:cs="宋体"/>
                <w:b w:val="0"/>
                <w:bCs w:val="0"/>
                <w:kern w:val="0"/>
                <w:sz w:val="21"/>
                <w:szCs w:val="21"/>
                <w:lang w:val="en-US" w:eastAsia="zh-CN" w:bidi="ar"/>
              </w:rPr>
              <w:t>登录的工作，提高工作效率。</w:t>
            </w:r>
          </w:p>
        </w:tc>
      </w:tr>
    </w:tbl>
    <w:p w14:paraId="1CB0EB46">
      <w:pPr>
        <w:wordWrap w:val="0"/>
        <w:snapToGrid w:val="0"/>
        <w:rPr>
          <w:rFonts w:hint="eastAsia"/>
          <w:kern w:val="2"/>
          <w:szCs w:val="24"/>
          <w:highlight w:val="yellow"/>
          <w:lang w:val="en-US" w:eastAsia="zh-CN" w:bidi="ar-SA"/>
        </w:rPr>
      </w:pPr>
    </w:p>
    <w:tbl>
      <w:tblPr>
        <w:tblStyle w:val="13"/>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8528"/>
      </w:tblGrid>
      <w:tr w14:paraId="01B3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6" w:type="dxa"/>
            <w:gridSpan w:val="2"/>
            <w:noWrap w:val="0"/>
            <w:vAlign w:val="top"/>
          </w:tcPr>
          <w:p w14:paraId="0A64C238">
            <w:pPr>
              <w:wordWrap w:val="0"/>
              <w:topLinePunct/>
              <w:snapToGrid w:val="0"/>
              <w:rPr>
                <w:rFonts w:hint="eastAsia" w:eastAsia="宋体"/>
                <w:b/>
                <w:kern w:val="2"/>
                <w:szCs w:val="21"/>
                <w:lang w:val="en-US" w:eastAsia="zh-CN" w:bidi="ar-SA"/>
              </w:rPr>
            </w:pPr>
            <w:r>
              <w:rPr>
                <w:rFonts w:hint="eastAsia" w:ascii="宋体" w:cs="Arial"/>
                <w:kern w:val="2"/>
                <w:szCs w:val="21"/>
                <w:lang w:val="en-US" w:eastAsia="zh-CN" w:bidi="ar-SA"/>
              </w:rPr>
              <w:t>▲</w:t>
            </w:r>
            <w:r>
              <w:rPr>
                <w:rFonts w:hint="eastAsia" w:ascii="Times New Roman" w:eastAsia="宋体"/>
                <w:b/>
                <w:kern w:val="2"/>
                <w:szCs w:val="21"/>
                <w:lang w:val="en-US" w:eastAsia="zh-CN" w:bidi="ar-SA"/>
              </w:rPr>
              <w:t>二、商务要求表</w:t>
            </w:r>
          </w:p>
        </w:tc>
      </w:tr>
      <w:tr w14:paraId="710F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6033B295">
            <w:pPr>
              <w:wordWrap w:val="0"/>
              <w:topLinePunct/>
              <w:snapToGrid w:val="0"/>
              <w:jc w:val="center"/>
              <w:rPr>
                <w:rFonts w:hint="eastAsia" w:ascii="宋体" w:hAnsi="宋体" w:eastAsia="宋体"/>
                <w:bCs/>
                <w:kern w:val="2"/>
                <w:szCs w:val="21"/>
                <w:highlight w:val="cyan"/>
                <w:lang w:val="en-US" w:eastAsia="zh-CN" w:bidi="ar-SA"/>
              </w:rPr>
            </w:pPr>
            <w:r>
              <w:rPr>
                <w:rFonts w:hint="eastAsia" w:ascii="宋体" w:hAnsi="宋体" w:eastAsia="宋体"/>
                <w:b/>
                <w:kern w:val="2"/>
                <w:szCs w:val="21"/>
                <w:lang w:val="en-US" w:eastAsia="zh-CN" w:bidi="ar-SA"/>
              </w:rPr>
              <w:t>投标报价方式</w:t>
            </w:r>
          </w:p>
        </w:tc>
        <w:tc>
          <w:tcPr>
            <w:tcW w:w="8528" w:type="dxa"/>
            <w:noWrap w:val="0"/>
            <w:vAlign w:val="center"/>
          </w:tcPr>
          <w:p w14:paraId="5725ACF9">
            <w:pPr>
              <w:wordWrap w:val="0"/>
              <w:topLinePunct/>
              <w:snapToGrid w:val="0"/>
              <w:rPr>
                <w:rFonts w:hint="eastAsia" w:ascii="宋体" w:hAnsi="宋体" w:eastAsia="宋体"/>
                <w:kern w:val="2"/>
                <w:szCs w:val="21"/>
                <w:highlight w:val="cyan"/>
                <w:lang w:val="en-US" w:eastAsia="zh-CN" w:bidi="ar-SA"/>
              </w:rPr>
            </w:pPr>
            <w:r>
              <w:rPr>
                <w:rFonts w:hint="eastAsia" w:ascii="宋体" w:hAnsi="宋体" w:cs="宋体"/>
                <w:kern w:val="2"/>
                <w:szCs w:val="21"/>
                <w:highlight w:val="none"/>
                <w:lang w:val="en-US" w:eastAsia="zh-CN" w:bidi="ar-SA"/>
              </w:rPr>
              <w:t>以固定总价进行报价，包括服务器硬件及相关支持功能设计、需求调研、软件开发费、产品费、接口开发费、技术培训费、调试费、维护升级费、系统集成费、相关标准编制费、系统检测费（性能测试、功能验证以及安全测试等）、实施人力成本、后期操作培训、税费。</w:t>
            </w:r>
          </w:p>
        </w:tc>
      </w:tr>
      <w:tr w14:paraId="20D7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52D3A39B">
            <w:pPr>
              <w:wordWrap w:val="0"/>
              <w:topLinePunct/>
              <w:snapToGrid w:val="0"/>
              <w:jc w:val="center"/>
              <w:rPr>
                <w:rFonts w:hint="default" w:ascii="宋体" w:hAnsi="宋体" w:eastAsia="宋体"/>
                <w:b/>
                <w:kern w:val="2"/>
                <w:szCs w:val="21"/>
                <w:lang w:val="en-US" w:eastAsia="zh-CN" w:bidi="ar-SA"/>
              </w:rPr>
            </w:pPr>
            <w:r>
              <w:rPr>
                <w:rFonts w:hint="eastAsia" w:ascii="宋体" w:hAnsi="宋体"/>
                <w:b/>
                <w:kern w:val="2"/>
                <w:szCs w:val="21"/>
                <w:lang w:val="en-US" w:eastAsia="zh-CN" w:bidi="ar-SA"/>
              </w:rPr>
              <w:t>报价供应商要求</w:t>
            </w:r>
          </w:p>
        </w:tc>
        <w:tc>
          <w:tcPr>
            <w:tcW w:w="8528" w:type="dxa"/>
            <w:noWrap w:val="0"/>
            <w:vAlign w:val="center"/>
          </w:tcPr>
          <w:p w14:paraId="2B545509">
            <w:pPr>
              <w:wordWrap w:val="0"/>
              <w:topLinePunct/>
              <w:snapToGrid w:val="0"/>
              <w:rPr>
                <w:rFonts w:hint="default" w:ascii="宋体" w:hAnsi="宋体" w:cs="宋体"/>
                <w:kern w:val="2"/>
                <w:szCs w:val="21"/>
                <w:highlight w:val="none"/>
                <w:lang w:val="en-US" w:eastAsia="zh-CN" w:bidi="ar-SA"/>
              </w:rPr>
            </w:pPr>
            <w:r>
              <w:rPr>
                <w:rFonts w:hint="eastAsia" w:ascii="宋体" w:hAnsi="宋体" w:cs="宋体"/>
                <w:color w:val="auto"/>
                <w:kern w:val="2"/>
                <w:szCs w:val="21"/>
                <w:highlight w:val="none"/>
                <w:lang w:val="en-US" w:eastAsia="zh-CN" w:bidi="ar-SA"/>
              </w:rPr>
              <w:t>投标报价供应商须出具现有系统厂商（北京致远互联软件股份有限公司）开具的投标授权函，无授权函的投标无效。</w:t>
            </w:r>
          </w:p>
        </w:tc>
      </w:tr>
      <w:tr w14:paraId="0EA8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00C1D77D">
            <w:pPr>
              <w:wordWrap w:val="0"/>
              <w:topLinePunct/>
              <w:snapToGrid w:val="0"/>
              <w:jc w:val="center"/>
              <w:rPr>
                <w:rFonts w:hint="default" w:ascii="宋体" w:hAnsi="宋体" w:eastAsia="宋体"/>
                <w:bCs/>
                <w:kern w:val="2"/>
                <w:szCs w:val="21"/>
                <w:highlight w:val="none"/>
                <w:lang w:val="en-US" w:eastAsia="zh-CN" w:bidi="ar-SA"/>
              </w:rPr>
            </w:pPr>
            <w:r>
              <w:rPr>
                <w:rFonts w:hint="eastAsia" w:ascii="宋体" w:hAnsi="宋体" w:eastAsia="宋体"/>
                <w:b/>
                <w:kern w:val="2"/>
                <w:szCs w:val="21"/>
                <w:highlight w:val="none"/>
                <w:lang w:val="en-US" w:eastAsia="zh-CN" w:bidi="ar-SA"/>
              </w:rPr>
              <w:t>质量要求期限</w:t>
            </w:r>
          </w:p>
        </w:tc>
        <w:tc>
          <w:tcPr>
            <w:tcW w:w="8528" w:type="dxa"/>
            <w:noWrap w:val="0"/>
            <w:vAlign w:val="center"/>
          </w:tcPr>
          <w:p w14:paraId="63A2FEB3">
            <w:pPr>
              <w:wordWrap w:val="0"/>
              <w:topLinePunct/>
              <w:snapToGrid w:val="0"/>
              <w:rPr>
                <w:rFonts w:hint="eastAsia" w:ascii="宋体" w:hAnsi="宋体" w:eastAsia="宋体"/>
                <w:kern w:val="2"/>
                <w:szCs w:val="21"/>
                <w:highlight w:val="none"/>
                <w:lang w:val="en-US" w:eastAsia="zh-CN" w:bidi="ar-SA"/>
              </w:rPr>
            </w:pPr>
            <w:r>
              <w:rPr>
                <w:rFonts w:hint="eastAsia" w:ascii="宋体" w:hAnsi="宋体" w:eastAsia="宋体"/>
                <w:kern w:val="2"/>
                <w:szCs w:val="21"/>
                <w:highlight w:val="none"/>
                <w:lang w:val="en-US" w:eastAsia="zh-CN" w:bidi="ar-SA"/>
              </w:rPr>
              <w:t>经安装调试试运行，达到项目建设目标。系统保修期自验收合格之日起24个月。</w:t>
            </w:r>
          </w:p>
        </w:tc>
      </w:tr>
      <w:tr w14:paraId="7EA7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21449DA0">
            <w:pPr>
              <w:wordWrap w:val="0"/>
              <w:topLinePunct/>
              <w:snapToGrid w:val="0"/>
              <w:jc w:val="center"/>
              <w:rPr>
                <w:rFonts w:ascii="宋体" w:hAnsi="宋体" w:eastAsia="宋体"/>
                <w:b/>
                <w:kern w:val="2"/>
                <w:szCs w:val="21"/>
                <w:highlight w:val="none"/>
                <w:lang w:val="en-US" w:eastAsia="zh-CN" w:bidi="ar-SA"/>
              </w:rPr>
            </w:pPr>
            <w:r>
              <w:rPr>
                <w:rFonts w:hint="eastAsia" w:ascii="宋体" w:hAnsi="宋体" w:cs="宋体"/>
                <w:b/>
                <w:kern w:val="2"/>
                <w:szCs w:val="21"/>
                <w:highlight w:val="none"/>
                <w:lang w:val="en-US" w:eastAsia="zh-CN" w:bidi="ar-SA"/>
              </w:rPr>
              <w:t>项目建设工期和实施地点</w:t>
            </w:r>
          </w:p>
        </w:tc>
        <w:tc>
          <w:tcPr>
            <w:tcW w:w="8528" w:type="dxa"/>
            <w:noWrap w:val="0"/>
            <w:vAlign w:val="center"/>
          </w:tcPr>
          <w:p w14:paraId="187CD88C">
            <w:pPr>
              <w:wordWrap w:val="0"/>
              <w:snapToGrid w:val="0"/>
              <w:rPr>
                <w:rFonts w:ascii="宋体" w:hAnsi="宋体" w:cs="宋体"/>
                <w:kern w:val="2"/>
                <w:szCs w:val="21"/>
                <w:highlight w:val="none"/>
                <w:lang w:val="en-US" w:eastAsia="zh-CN" w:bidi="ar-SA"/>
              </w:rPr>
            </w:pPr>
            <w:r>
              <w:rPr>
                <w:rFonts w:hint="eastAsia" w:ascii="宋体" w:hAnsi="宋体" w:cs="宋体"/>
                <w:kern w:val="2"/>
                <w:szCs w:val="21"/>
                <w:highlight w:val="none"/>
                <w:lang w:val="en-US" w:eastAsia="zh-CN" w:bidi="ar-SA"/>
              </w:rPr>
              <w:t>1.建设工期：自接到中标通知之日起60日历天完成各系统模块上线。试运行期为30工作日，试运行期后，满足验收条件进行竣工验收。</w:t>
            </w:r>
          </w:p>
          <w:p w14:paraId="2BCC49F1">
            <w:pPr>
              <w:wordWrap w:val="0"/>
              <w:topLinePunct/>
              <w:snapToGrid w:val="0"/>
              <w:rPr>
                <w:rFonts w:ascii="宋体" w:hAnsi="宋体" w:eastAsia="宋体"/>
                <w:kern w:val="2"/>
                <w:szCs w:val="21"/>
                <w:highlight w:val="none"/>
                <w:lang w:val="en-US" w:eastAsia="zh-CN" w:bidi="ar-SA"/>
              </w:rPr>
            </w:pPr>
            <w:r>
              <w:rPr>
                <w:rFonts w:hint="eastAsia" w:ascii="宋体" w:hAnsi="宋体" w:cs="宋体"/>
                <w:kern w:val="2"/>
                <w:szCs w:val="21"/>
                <w:highlight w:val="none"/>
                <w:lang w:val="en-US" w:eastAsia="zh-CN" w:bidi="ar-SA"/>
              </w:rPr>
              <w:t>2.实施地点：采购人指定地点。</w:t>
            </w:r>
          </w:p>
        </w:tc>
      </w:tr>
      <w:tr w14:paraId="7DD5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444961DF">
            <w:pPr>
              <w:wordWrap w:val="0"/>
              <w:snapToGrid w:val="0"/>
              <w:jc w:val="center"/>
              <w:rPr>
                <w:rFonts w:ascii="宋体" w:hAnsi="宋体"/>
                <w:b/>
                <w:kern w:val="2"/>
                <w:szCs w:val="21"/>
                <w:highlight w:val="none"/>
                <w:lang w:val="en-US" w:eastAsia="zh-CN" w:bidi="ar-SA"/>
              </w:rPr>
            </w:pPr>
            <w:r>
              <w:rPr>
                <w:rFonts w:hint="eastAsia" w:ascii="宋体" w:hAnsi="宋体"/>
                <w:b/>
                <w:kern w:val="2"/>
                <w:szCs w:val="21"/>
                <w:highlight w:val="none"/>
                <w:lang w:val="en-US" w:eastAsia="zh-CN" w:bidi="ar-SA"/>
              </w:rPr>
              <w:t>采购标的需满足的服务标准、期限、效率等要求</w:t>
            </w:r>
          </w:p>
        </w:tc>
        <w:tc>
          <w:tcPr>
            <w:tcW w:w="8528" w:type="dxa"/>
            <w:noWrap w:val="0"/>
            <w:vAlign w:val="center"/>
          </w:tcPr>
          <w:p w14:paraId="568EF1DF">
            <w:pPr>
              <w:wordWrap w:val="0"/>
              <w:topLinePunct/>
              <w:snapToGrid w:val="0"/>
              <w:rPr>
                <w:rFonts w:ascii="宋体" w:hAnsi="宋体" w:eastAsia="宋体" w:cs="宋体"/>
                <w:bCs/>
                <w:iCs/>
                <w:color w:val="000000"/>
                <w:kern w:val="2"/>
                <w:szCs w:val="18"/>
                <w:highlight w:val="none"/>
                <w:lang w:val="en-US" w:eastAsia="zh-CN" w:bidi="ar-SA"/>
              </w:rPr>
            </w:pPr>
            <w:r>
              <w:rPr>
                <w:rFonts w:hint="eastAsia" w:ascii="宋体" w:hAnsi="宋体" w:cs="Arial"/>
                <w:kern w:val="2"/>
                <w:szCs w:val="21"/>
                <w:highlight w:val="none"/>
                <w:lang w:val="en-US" w:eastAsia="zh-CN" w:bidi="ar-SA"/>
              </w:rPr>
              <w:t>采购标的需执行的国家标准、行业标准、地方标准或者其他标准、规范</w:t>
            </w:r>
            <w:r>
              <w:rPr>
                <w:rFonts w:hint="eastAsia" w:ascii="宋体" w:hAnsi="宋体" w:cs="宋体"/>
                <w:kern w:val="2"/>
                <w:szCs w:val="21"/>
                <w:highlight w:val="none"/>
                <w:lang w:val="en-US" w:eastAsia="zh-CN" w:bidi="ar-SA"/>
              </w:rPr>
              <w:t>。</w:t>
            </w:r>
          </w:p>
        </w:tc>
      </w:tr>
      <w:tr w14:paraId="45C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8" w:type="dxa"/>
            <w:noWrap w:val="0"/>
            <w:vAlign w:val="center"/>
          </w:tcPr>
          <w:p w14:paraId="6427E3A0">
            <w:pPr>
              <w:wordWrap w:val="0"/>
              <w:topLinePunct/>
              <w:snapToGrid w:val="0"/>
              <w:jc w:val="center"/>
              <w:rPr>
                <w:rFonts w:hint="eastAsia" w:ascii="宋体" w:hAnsi="宋体" w:eastAsia="宋体"/>
                <w:b/>
                <w:kern w:val="2"/>
                <w:szCs w:val="21"/>
                <w:highlight w:val="none"/>
                <w:lang w:val="en-US" w:eastAsia="zh-CN" w:bidi="ar-SA"/>
              </w:rPr>
            </w:pPr>
            <w:r>
              <w:rPr>
                <w:rFonts w:hint="eastAsia" w:ascii="宋体" w:hAnsi="宋体" w:eastAsia="宋体"/>
                <w:b/>
                <w:kern w:val="2"/>
                <w:szCs w:val="21"/>
                <w:highlight w:val="none"/>
                <w:lang w:val="en-US" w:eastAsia="zh-CN" w:bidi="ar-SA"/>
              </w:rPr>
              <w:t>采购标的验收标准</w:t>
            </w:r>
          </w:p>
        </w:tc>
        <w:tc>
          <w:tcPr>
            <w:tcW w:w="8528" w:type="dxa"/>
            <w:noWrap w:val="0"/>
            <w:vAlign w:val="center"/>
          </w:tcPr>
          <w:p w14:paraId="68C106B5">
            <w:pPr>
              <w:wordWrap w:val="0"/>
              <w:topLinePunct/>
              <w:snapToGrid w:val="0"/>
              <w:rPr>
                <w:rFonts w:hint="eastAsia" w:ascii="宋体" w:hAnsi="宋体" w:cs="宋体"/>
                <w:color w:val="000000"/>
                <w:kern w:val="2"/>
                <w:szCs w:val="21"/>
                <w:highlight w:val="none"/>
                <w:lang w:val="en-US" w:eastAsia="zh-CN" w:bidi="ar-SA"/>
              </w:rPr>
            </w:pPr>
            <w:r>
              <w:rPr>
                <w:rFonts w:hint="eastAsia" w:ascii="宋体" w:hAnsi="宋体" w:cs="宋体"/>
                <w:color w:val="000000"/>
                <w:kern w:val="2"/>
                <w:szCs w:val="21"/>
                <w:highlight w:val="none"/>
                <w:lang w:val="en-US" w:eastAsia="zh-CN" w:bidi="ar-SA"/>
              </w:rPr>
              <w:t>1.中标供应商需承担项目验收时发生的一切费用。</w:t>
            </w:r>
          </w:p>
          <w:p w14:paraId="357B6BAD">
            <w:pPr>
              <w:wordWrap w:val="0"/>
              <w:topLinePunct/>
              <w:snapToGrid w:val="0"/>
              <w:rPr>
                <w:rFonts w:hint="eastAsia" w:ascii="宋体" w:hAnsi="宋体" w:cs="宋体"/>
                <w:color w:val="000000"/>
                <w:kern w:val="2"/>
                <w:szCs w:val="21"/>
                <w:highlight w:val="none"/>
                <w:lang w:val="en-US" w:eastAsia="zh-CN" w:bidi="ar-SA"/>
              </w:rPr>
            </w:pPr>
            <w:r>
              <w:rPr>
                <w:rFonts w:hint="eastAsia" w:ascii="宋体" w:hAnsi="宋体" w:cs="宋体"/>
                <w:color w:val="000000"/>
                <w:kern w:val="2"/>
                <w:szCs w:val="21"/>
                <w:highlight w:val="none"/>
                <w:lang w:val="en-US" w:eastAsia="zh-CN" w:bidi="ar-SA"/>
              </w:rPr>
              <w:t>2.采购人将依据招标文件上的技术要求和国家有关标准对中标供应商完成的项目进行初步验收，初步验收不合格的，采购人有权不予签收；在本项目验收时，中标供应商如提供不符合招标文件和采购合同规定的服务，采购人有权拒绝接受，由此产生的一切损失均由中标供应商自行承担。</w:t>
            </w:r>
          </w:p>
          <w:p w14:paraId="7B2D44FF">
            <w:pPr>
              <w:wordWrap w:val="0"/>
              <w:topLinePunct/>
              <w:snapToGrid w:val="0"/>
              <w:rPr>
                <w:rFonts w:hint="eastAsia" w:ascii="宋体" w:hAnsi="宋体" w:cs="宋体"/>
                <w:color w:val="000000"/>
                <w:kern w:val="2"/>
                <w:szCs w:val="21"/>
                <w:highlight w:val="none"/>
                <w:lang w:val="en-US" w:eastAsia="zh-CN" w:bidi="ar-SA"/>
              </w:rPr>
            </w:pPr>
            <w:r>
              <w:rPr>
                <w:rFonts w:hint="eastAsia" w:ascii="宋体" w:hAnsi="宋体" w:cs="宋体"/>
                <w:color w:val="000000"/>
                <w:kern w:val="2"/>
                <w:szCs w:val="21"/>
                <w:highlight w:val="none"/>
                <w:lang w:val="en-US" w:eastAsia="zh-CN" w:bidi="ar-SA"/>
              </w:rPr>
              <w:t>3.当项目完成后，由中标供应商向采购人提出项目验收申请，并于验收前向采购人提供一切有关技术文件、资料、图纸和相关记录等验收材料，并在验收前7个工作日内通知采购人及有关部门准备验收。拟验收项目的实施总体功能、性能符合采购人认可的技术设计方案及合同规定的，予以验收，并作出验收结果报告。供需双方签署项目终验验收证书，并自正式交付使用之日起，整体项目才视为接受。</w:t>
            </w:r>
          </w:p>
          <w:p w14:paraId="1A4B37C5">
            <w:pPr>
              <w:wordWrap w:val="0"/>
              <w:topLinePunct/>
              <w:snapToGrid w:val="0"/>
              <w:rPr>
                <w:rFonts w:hint="eastAsia" w:ascii="宋体" w:hAnsi="宋体" w:cs="宋体"/>
                <w:color w:val="000000"/>
                <w:kern w:val="2"/>
                <w:szCs w:val="21"/>
                <w:highlight w:val="none"/>
                <w:lang w:val="en-US" w:eastAsia="zh-CN" w:bidi="ar-SA"/>
              </w:rPr>
            </w:pPr>
            <w:r>
              <w:rPr>
                <w:rFonts w:hint="eastAsia" w:ascii="宋体" w:hAnsi="宋体" w:cs="宋体"/>
                <w:color w:val="000000"/>
                <w:kern w:val="2"/>
                <w:szCs w:val="21"/>
                <w:highlight w:val="none"/>
                <w:lang w:val="en-US" w:eastAsia="zh-CN" w:bidi="ar-SA"/>
              </w:rPr>
              <w:t>4.验收标准</w:t>
            </w:r>
          </w:p>
          <w:p w14:paraId="2D5B2844">
            <w:pPr>
              <w:wordWrap w:val="0"/>
              <w:topLinePunct/>
              <w:snapToGrid w:val="0"/>
              <w:rPr>
                <w:rFonts w:hint="eastAsia" w:ascii="宋体" w:hAnsi="宋体" w:eastAsia="宋体" w:cs="宋体"/>
                <w:color w:val="000000"/>
                <w:kern w:val="2"/>
                <w:szCs w:val="21"/>
                <w:highlight w:val="none"/>
                <w:lang w:val="en-US" w:eastAsia="zh-CN" w:bidi="ar-SA"/>
              </w:rPr>
            </w:pPr>
            <w:r>
              <w:rPr>
                <w:rFonts w:hint="eastAsia" w:ascii="宋体" w:hAnsi="宋体" w:eastAsia="宋体" w:cs="宋体"/>
                <w:color w:val="000000"/>
                <w:kern w:val="2"/>
                <w:szCs w:val="21"/>
                <w:highlight w:val="none"/>
                <w:lang w:val="en-US" w:eastAsia="zh-CN" w:bidi="ar-SA"/>
              </w:rPr>
              <w:t>1）中标人投标文件中其他技术、服务、商务性的说明、承诺事项，逐条验收；</w:t>
            </w:r>
          </w:p>
          <w:p w14:paraId="600A2BFA">
            <w:pPr>
              <w:wordWrap w:val="0"/>
              <w:topLinePunct/>
              <w:snapToGrid w:val="0"/>
              <w:rPr>
                <w:rFonts w:hint="eastAsia" w:ascii="宋体" w:hAnsi="宋体" w:eastAsia="宋体"/>
                <w:kern w:val="2"/>
                <w:szCs w:val="21"/>
                <w:highlight w:val="none"/>
                <w:lang w:val="en-US" w:eastAsia="zh-CN" w:bidi="ar-SA"/>
              </w:rPr>
            </w:pPr>
            <w:r>
              <w:rPr>
                <w:rFonts w:hint="eastAsia" w:ascii="宋体" w:hAnsi="宋体"/>
                <w:color w:val="000000"/>
                <w:kern w:val="2"/>
                <w:szCs w:val="21"/>
                <w:highlight w:val="none"/>
                <w:lang w:val="en-US" w:eastAsia="zh-CN" w:bidi="ar-SA"/>
              </w:rPr>
              <w:t>2</w:t>
            </w:r>
            <w:r>
              <w:rPr>
                <w:rFonts w:hint="eastAsia" w:ascii="宋体" w:hAnsi="宋体" w:eastAsia="宋体"/>
                <w:color w:val="000000"/>
                <w:kern w:val="2"/>
                <w:szCs w:val="21"/>
                <w:highlight w:val="none"/>
                <w:lang w:val="en-US" w:eastAsia="zh-CN" w:bidi="ar-SA"/>
              </w:rPr>
              <w:t>）</w:t>
            </w:r>
            <w:r>
              <w:rPr>
                <w:rFonts w:ascii="宋体" w:hAnsi="宋体" w:eastAsia="宋体"/>
                <w:color w:val="000000"/>
                <w:kern w:val="2"/>
                <w:szCs w:val="21"/>
                <w:highlight w:val="none"/>
                <w:lang w:val="en-US" w:eastAsia="zh-CN" w:bidi="ar-SA"/>
              </w:rPr>
              <w:t>国家相关法律、法规、</w:t>
            </w:r>
            <w:r>
              <w:rPr>
                <w:rFonts w:hint="eastAsia" w:ascii="宋体" w:hAnsi="宋体" w:eastAsia="宋体"/>
                <w:color w:val="000000"/>
                <w:kern w:val="2"/>
                <w:szCs w:val="21"/>
                <w:highlight w:val="none"/>
                <w:lang w:val="en-US" w:eastAsia="zh-CN" w:bidi="ar-SA"/>
              </w:rPr>
              <w:t>标准</w:t>
            </w:r>
            <w:r>
              <w:rPr>
                <w:rFonts w:ascii="宋体" w:hAnsi="宋体" w:eastAsia="宋体"/>
                <w:color w:val="000000"/>
                <w:kern w:val="2"/>
                <w:szCs w:val="21"/>
                <w:highlight w:val="none"/>
                <w:lang w:val="en-US" w:eastAsia="zh-CN" w:bidi="ar-SA"/>
              </w:rPr>
              <w:t>和规范等。</w:t>
            </w:r>
          </w:p>
        </w:tc>
      </w:tr>
    </w:tbl>
    <w:p w14:paraId="4D572A94">
      <w:pPr>
        <w:wordWrap w:val="0"/>
        <w:snapToGrid w:val="0"/>
        <w:jc w:val="left"/>
        <w:rPr>
          <w:rFonts w:hint="eastAsia"/>
          <w:kern w:val="2"/>
          <w:szCs w:val="24"/>
          <w:highlight w:val="yellow"/>
          <w:lang w:val="en-US" w:eastAsia="zh-CN" w:bidi="ar-SA"/>
        </w:rPr>
      </w:pPr>
    </w:p>
    <w:tbl>
      <w:tblPr>
        <w:tblStyle w:val="13"/>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6"/>
      </w:tblGrid>
      <w:tr w14:paraId="423C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6" w:type="dxa"/>
            <w:noWrap w:val="0"/>
            <w:vAlign w:val="center"/>
          </w:tcPr>
          <w:p w14:paraId="577DC737">
            <w:pPr>
              <w:wordWrap w:val="0"/>
              <w:topLinePunct/>
              <w:snapToGrid w:val="0"/>
              <w:rPr>
                <w:rFonts w:hint="eastAsia" w:ascii="宋体" w:hAnsi="宋体"/>
                <w:kern w:val="2"/>
                <w:szCs w:val="21"/>
                <w:lang w:val="en-US" w:eastAsia="zh-CN" w:bidi="ar-SA"/>
              </w:rPr>
            </w:pPr>
            <w:r>
              <w:rPr>
                <w:rFonts w:hint="eastAsia" w:ascii="宋体" w:hAnsi="宋体" w:cs="宋体"/>
                <w:b/>
                <w:kern w:val="2"/>
                <w:szCs w:val="21"/>
                <w:lang w:val="en-US" w:eastAsia="zh-CN" w:bidi="ar-SA"/>
              </w:rPr>
              <w:t>三</w:t>
            </w:r>
            <w:r>
              <w:rPr>
                <w:rFonts w:hint="eastAsia" w:ascii="宋体" w:hAnsi="宋体" w:eastAsia="宋体" w:cs="宋体"/>
                <w:b/>
                <w:kern w:val="2"/>
                <w:szCs w:val="21"/>
                <w:lang w:val="en-US" w:eastAsia="zh-CN" w:bidi="ar-SA"/>
              </w:rPr>
              <w:t>、采购人对项目的</w:t>
            </w:r>
            <w:r>
              <w:rPr>
                <w:rFonts w:hint="eastAsia" w:eastAsia="宋体"/>
                <w:b/>
                <w:kern w:val="2"/>
                <w:szCs w:val="21"/>
                <w:lang w:val="en-US" w:eastAsia="zh-CN" w:bidi="ar-SA"/>
              </w:rPr>
              <w:t>其他</w:t>
            </w:r>
            <w:r>
              <w:rPr>
                <w:rFonts w:hint="eastAsia" w:ascii="宋体" w:hAnsi="宋体" w:eastAsia="宋体" w:cs="宋体"/>
                <w:b/>
                <w:kern w:val="2"/>
                <w:szCs w:val="21"/>
                <w:lang w:val="en-US" w:eastAsia="zh-CN" w:bidi="ar-SA"/>
              </w:rPr>
              <w:t>要求及说明</w:t>
            </w:r>
          </w:p>
        </w:tc>
      </w:tr>
      <w:tr w14:paraId="1C86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6" w:type="dxa"/>
            <w:noWrap w:val="0"/>
            <w:vAlign w:val="center"/>
          </w:tcPr>
          <w:p w14:paraId="7FE9C116">
            <w:pPr>
              <w:numPr>
                <w:ilvl w:val="0"/>
                <w:numId w:val="2"/>
              </w:numPr>
              <w:wordWrap w:val="0"/>
              <w:topLinePunct/>
              <w:snapToGrid w:val="0"/>
              <w:rPr>
                <w:rFonts w:hint="eastAsia" w:ascii="宋体"/>
                <w:kern w:val="2"/>
                <w:szCs w:val="21"/>
                <w:lang w:val="en-US" w:eastAsia="zh-CN" w:bidi="ar-SA"/>
              </w:rPr>
            </w:pPr>
            <w:r>
              <w:rPr>
                <w:rFonts w:hint="eastAsia" w:ascii="宋体" w:cs="Arial"/>
                <w:kern w:val="2"/>
                <w:szCs w:val="21"/>
                <w:lang w:val="en-US" w:eastAsia="zh-CN" w:bidi="ar-SA"/>
              </w:rPr>
              <w:t>投标人实施服务所使用的软件、工具等</w:t>
            </w:r>
            <w:r>
              <w:rPr>
                <w:rFonts w:hint="eastAsia" w:ascii="宋体"/>
                <w:kern w:val="2"/>
                <w:szCs w:val="21"/>
                <w:lang w:val="en-US" w:eastAsia="zh-CN" w:bidi="ar-SA"/>
              </w:rPr>
              <w:t>必须为经合法销售渠道获得，若因其侵犯了第三方合法权益而引发任何纠纷或诉讼，均由投标人负责交涉并承担全部责任。</w:t>
            </w:r>
          </w:p>
          <w:p w14:paraId="6CE484E0">
            <w:pPr>
              <w:wordWrap w:val="0"/>
              <w:snapToGrid w:val="0"/>
              <w:rPr>
                <w:rFonts w:hint="eastAsia" w:ascii="宋体" w:hAnsi="宋体" w:eastAsia="宋体" w:cs="宋体"/>
                <w:color w:val="000000"/>
                <w:kern w:val="2"/>
                <w:szCs w:val="21"/>
                <w:highlight w:val="none"/>
                <w:lang w:val="en-US" w:eastAsia="zh-CN" w:bidi="ar-SA"/>
              </w:rPr>
            </w:pPr>
            <w:r>
              <w:rPr>
                <w:rFonts w:hint="eastAsia" w:ascii="宋体"/>
                <w:kern w:val="2"/>
                <w:szCs w:val="21"/>
                <w:lang w:val="en-US" w:eastAsia="zh-CN" w:bidi="ar-SA"/>
              </w:rPr>
              <w:t>2.</w:t>
            </w:r>
            <w:r>
              <w:rPr>
                <w:rFonts w:hint="eastAsia" w:ascii="宋体" w:hAnsi="宋体" w:eastAsia="宋体" w:cs="宋体"/>
                <w:kern w:val="2"/>
                <w:szCs w:val="21"/>
                <w:highlight w:val="none"/>
                <w:lang w:val="en-US" w:eastAsia="zh-CN" w:bidi="ar-SA"/>
              </w:rPr>
              <w:t>1）</w:t>
            </w:r>
            <w:r>
              <w:rPr>
                <w:rFonts w:hint="eastAsia" w:ascii="宋体" w:hAnsi="宋体" w:eastAsia="宋体" w:cs="宋体"/>
                <w:color w:val="000000"/>
                <w:kern w:val="2"/>
                <w:szCs w:val="21"/>
                <w:highlight w:val="none"/>
                <w:lang w:val="en-US" w:eastAsia="zh-CN" w:bidi="ar-SA"/>
              </w:rPr>
              <w:t>未经采购公司书面许可，供应商不得向任何第三方提供上述报告、资料、文件、用户信息等内容及服务成果。即使向履行有关的人员提供，也应注意保密并限于履行合同的必需范围。</w:t>
            </w:r>
          </w:p>
          <w:p w14:paraId="1A3B4882">
            <w:pPr>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240" w:lineRule="auto"/>
              <w:textAlignment w:val="auto"/>
              <w:rPr>
                <w:rFonts w:hint="eastAsia" w:ascii="宋体" w:hAnsi="宋体" w:eastAsia="宋体"/>
                <w:kern w:val="2"/>
                <w:szCs w:val="21"/>
                <w:highlight w:val="yellow"/>
                <w:lang w:val="en-US" w:eastAsia="zh-CN" w:bidi="ar-SA"/>
              </w:rPr>
            </w:pPr>
            <w:r>
              <w:rPr>
                <w:rFonts w:hint="eastAsia" w:ascii="宋体" w:hAnsi="宋体" w:eastAsia="宋体" w:cs="宋体"/>
                <w:color w:val="000000"/>
                <w:kern w:val="2"/>
                <w:szCs w:val="21"/>
                <w:highlight w:val="none"/>
                <w:lang w:val="en-US" w:eastAsia="zh-CN" w:bidi="ar-SA"/>
              </w:rPr>
              <w:t>2）供应商应严格遵守相关的知识产权及软件版权保护的法律、</w:t>
            </w:r>
            <w:r>
              <w:rPr>
                <w:rFonts w:hint="eastAsia" w:ascii="宋体" w:hAnsi="宋体" w:eastAsia="宋体" w:cs="宋体"/>
                <w:color w:val="000000"/>
                <w:kern w:val="2"/>
                <w:szCs w:val="21"/>
                <w:highlight w:val="none"/>
                <w:lang w:val="en-US" w:eastAsia="zh-CN" w:bidi="ar-SA"/>
              </w:rPr>
              <w:fldChar w:fldCharType="begin"/>
            </w:r>
            <w:r>
              <w:rPr>
                <w:rFonts w:hint="eastAsia" w:ascii="宋体" w:hAnsi="宋体" w:eastAsia="宋体" w:cs="宋体"/>
                <w:color w:val="000000"/>
                <w:kern w:val="2"/>
                <w:szCs w:val="21"/>
                <w:highlight w:val="none"/>
                <w:lang w:val="en-US" w:eastAsia="zh-CN" w:bidi="ar-SA"/>
              </w:rPr>
              <w:instrText xml:space="preserve"> HYPERLINK "http://www.chinalawedu.com/falvfagui/" \o "法规" \t "_blank" </w:instrText>
            </w:r>
            <w:r>
              <w:rPr>
                <w:rFonts w:hint="eastAsia" w:ascii="宋体" w:hAnsi="宋体" w:eastAsia="宋体" w:cs="宋体"/>
                <w:color w:val="000000"/>
                <w:kern w:val="2"/>
                <w:szCs w:val="21"/>
                <w:highlight w:val="none"/>
                <w:lang w:val="en-US" w:eastAsia="zh-CN" w:bidi="ar-SA"/>
              </w:rPr>
              <w:fldChar w:fldCharType="separate"/>
            </w:r>
            <w:r>
              <w:rPr>
                <w:rFonts w:hint="eastAsia" w:ascii="宋体" w:hAnsi="宋体" w:eastAsia="宋体" w:cs="宋体"/>
                <w:color w:val="000000"/>
                <w:kern w:val="2"/>
                <w:szCs w:val="21"/>
                <w:highlight w:val="none"/>
                <w:lang w:val="en-US" w:eastAsia="zh-CN" w:bidi="ar-SA"/>
              </w:rPr>
              <w:t>法规</w:t>
            </w:r>
            <w:r>
              <w:rPr>
                <w:rFonts w:hint="eastAsia" w:ascii="宋体" w:hAnsi="宋体" w:eastAsia="宋体" w:cs="宋体"/>
                <w:color w:val="000000"/>
                <w:kern w:val="2"/>
                <w:szCs w:val="21"/>
                <w:highlight w:val="none"/>
                <w:lang w:val="en-US" w:eastAsia="zh-CN" w:bidi="ar-SA"/>
              </w:rPr>
              <w:fldChar w:fldCharType="end"/>
            </w:r>
            <w:r>
              <w:rPr>
                <w:rFonts w:hint="eastAsia" w:ascii="宋体" w:hAnsi="宋体" w:eastAsia="宋体" w:cs="宋体"/>
                <w:color w:val="000000"/>
                <w:kern w:val="2"/>
                <w:szCs w:val="21"/>
                <w:highlight w:val="none"/>
                <w:lang w:val="en-US" w:eastAsia="zh-CN" w:bidi="ar-SA"/>
              </w:rPr>
              <w:t>；并在项目所规定的范围内使用本合同管理系统，任何供应商用于未经授权的商业目的复制行为所造成的违约或侵权责任由供应商承</w:t>
            </w:r>
            <w:r>
              <w:rPr>
                <w:rFonts w:hint="eastAsia" w:ascii="宋体" w:hAnsi="宋体" w:eastAsia="宋体" w:cs="宋体"/>
                <w:color w:val="auto"/>
                <w:kern w:val="2"/>
                <w:szCs w:val="21"/>
                <w:highlight w:val="none"/>
                <w:u w:val="none"/>
                <w:lang w:val="en-US" w:eastAsia="zh-CN" w:bidi="ar-SA"/>
              </w:rPr>
              <w:t>担</w:t>
            </w:r>
            <w:r>
              <w:rPr>
                <w:rFonts w:hint="eastAsia" w:ascii="宋体" w:hAnsi="宋体" w:eastAsia="宋体" w:cs="宋体"/>
                <w:color w:val="000000"/>
                <w:kern w:val="2"/>
                <w:szCs w:val="21"/>
                <w:highlight w:val="none"/>
                <w:lang w:val="en-US" w:eastAsia="zh-CN" w:bidi="ar-SA"/>
              </w:rPr>
              <w:t>。</w:t>
            </w:r>
          </w:p>
        </w:tc>
      </w:tr>
    </w:tbl>
    <w:p w14:paraId="6368D264">
      <w:pPr>
        <w:rPr>
          <w:rFonts w:ascii="Times New Roman" w:hAnsi="Times New Roman" w:eastAsia="黑体" w:cs="Times New Roman"/>
          <w:b/>
          <w:bCs/>
          <w:sz w:val="28"/>
          <w:szCs w:val="28"/>
        </w:rPr>
      </w:pPr>
      <w:r>
        <w:rPr>
          <w:rFonts w:ascii="Times New Roman" w:hAnsi="Times New Roman" w:eastAsia="黑体" w:cs="Times New Roman"/>
          <w:b/>
          <w:bCs/>
          <w:sz w:val="28"/>
          <w:szCs w:val="28"/>
        </w:rPr>
        <w:br w:type="page"/>
      </w:r>
    </w:p>
    <w:p w14:paraId="1463BCF9">
      <w:pPr>
        <w:spacing w:before="120" w:after="200"/>
        <w:jc w:val="both"/>
        <w:rPr>
          <w:rFonts w:hint="eastAsia" w:eastAsia="黑体"/>
          <w:lang w:val="en-US" w:eastAsia="zh-CN"/>
        </w:rPr>
      </w:pPr>
      <w:r>
        <w:rPr>
          <w:rFonts w:ascii="Times New Roman" w:hAnsi="Times New Roman" w:eastAsia="黑体" w:cs="Times New Roman"/>
          <w:b/>
          <w:bCs/>
          <w:sz w:val="28"/>
          <w:szCs w:val="28"/>
        </w:rPr>
        <w:t>附件</w:t>
      </w:r>
      <w:r>
        <w:rPr>
          <w:rFonts w:hint="eastAsia" w:eastAsia="黑体" w:cs="Times New Roman"/>
          <w:b/>
          <w:bCs/>
          <w:sz w:val="28"/>
          <w:szCs w:val="28"/>
          <w:lang w:val="en-US" w:eastAsia="zh-CN"/>
        </w:rPr>
        <w:t>2</w:t>
      </w:r>
    </w:p>
    <w:p w14:paraId="4007B090">
      <w:pPr>
        <w:spacing w:before="240"/>
        <w:jc w:val="center"/>
        <w:rPr>
          <w:rFonts w:hint="eastAsia" w:ascii="黑体" w:hAnsi="黑体" w:eastAsia="黑体" w:cs="黑体"/>
          <w:b/>
          <w:color w:val="auto"/>
          <w:kern w:val="2"/>
          <w:sz w:val="30"/>
          <w:szCs w:val="30"/>
          <w:highlight w:val="none"/>
          <w:lang w:val="en-US" w:eastAsia="zh-CN" w:bidi="ar-SA"/>
        </w:rPr>
      </w:pPr>
      <w:r>
        <w:rPr>
          <w:rFonts w:hint="eastAsia" w:ascii="黑体" w:hAnsi="黑体" w:eastAsia="黑体" w:cs="黑体"/>
          <w:b/>
          <w:color w:val="auto"/>
          <w:kern w:val="2"/>
          <w:sz w:val="30"/>
          <w:szCs w:val="30"/>
          <w:highlight w:val="none"/>
          <w:lang w:val="en-US" w:eastAsia="zh-CN" w:bidi="ar-SA"/>
        </w:rPr>
        <w:t>响应文件封面格式</w:t>
      </w:r>
    </w:p>
    <w:p w14:paraId="113F09AC">
      <w:pPr>
        <w:spacing w:before="240"/>
        <w:jc w:val="right"/>
        <w:rPr>
          <w:rFonts w:hint="eastAsia" w:ascii="Calibri" w:hAnsi="Calibri" w:eastAsia="宋体" w:cs="Times New Roman"/>
          <w:b/>
          <w:color w:val="auto"/>
          <w:kern w:val="2"/>
          <w:sz w:val="28"/>
          <w:szCs w:val="28"/>
          <w:highlight w:val="none"/>
          <w:lang w:val="en-US" w:eastAsia="zh-CN" w:bidi="ar-SA"/>
        </w:rPr>
      </w:pPr>
      <w:r>
        <w:rPr>
          <w:rFonts w:hint="eastAsia" w:ascii="Calibri" w:hAnsi="Calibri" w:eastAsia="宋体" w:cs="Times New Roman"/>
          <w:b/>
          <w:color w:val="auto"/>
          <w:kern w:val="2"/>
          <w:sz w:val="28"/>
          <w:szCs w:val="28"/>
          <w:highlight w:val="none"/>
          <w:lang w:val="en-US" w:eastAsia="zh-CN" w:bidi="ar-SA"/>
        </w:rPr>
        <w:t>正本 / 副本</w:t>
      </w:r>
    </w:p>
    <w:p w14:paraId="28FDA708">
      <w:pPr>
        <w:spacing w:before="240"/>
        <w:rPr>
          <w:rFonts w:hint="eastAsia" w:ascii="Calibri" w:hAnsi="Calibri" w:eastAsia="宋体" w:cs="Times New Roman"/>
          <w:b/>
          <w:color w:val="auto"/>
          <w:kern w:val="2"/>
          <w:szCs w:val="21"/>
          <w:highlight w:val="none"/>
          <w:lang w:val="en-US" w:eastAsia="zh-CN" w:bidi="ar-SA"/>
        </w:rPr>
      </w:pPr>
    </w:p>
    <w:p w14:paraId="709967F5">
      <w:pPr>
        <w:spacing w:before="240"/>
        <w:jc w:val="center"/>
        <w:rPr>
          <w:rFonts w:hint="eastAsia" w:ascii="Times New Roman" w:hAnsi="Times New Roman" w:eastAsia="宋体" w:cs="Times New Roman"/>
          <w:b/>
          <w:color w:val="auto"/>
          <w:kern w:val="2"/>
          <w:sz w:val="44"/>
          <w:szCs w:val="44"/>
          <w:highlight w:val="none"/>
          <w:lang w:val="en-US" w:eastAsia="zh-CN" w:bidi="ar-SA"/>
        </w:rPr>
      </w:pPr>
    </w:p>
    <w:p w14:paraId="6EA7CDFA">
      <w:pPr>
        <w:spacing w:before="240"/>
        <w:jc w:val="center"/>
        <w:rPr>
          <w:rFonts w:hint="eastAsia" w:ascii="Times New Roman" w:hAnsi="Times New Roman" w:eastAsia="宋体" w:cs="Times New Roman"/>
          <w:b/>
          <w:color w:val="auto"/>
          <w:kern w:val="2"/>
          <w:sz w:val="44"/>
          <w:szCs w:val="44"/>
          <w:highlight w:val="none"/>
          <w:lang w:val="en-US" w:eastAsia="zh-CN" w:bidi="ar-SA"/>
        </w:rPr>
      </w:pPr>
      <w:r>
        <w:rPr>
          <w:rFonts w:hint="eastAsia" w:ascii="Times New Roman" w:hAnsi="Times New Roman" w:eastAsia="宋体" w:cs="Times New Roman"/>
          <w:b/>
          <w:color w:val="auto"/>
          <w:kern w:val="2"/>
          <w:sz w:val="44"/>
          <w:szCs w:val="44"/>
          <w:highlight w:val="none"/>
          <w:lang w:val="en-US" w:eastAsia="zh-CN" w:bidi="ar-SA"/>
        </w:rPr>
        <w:t>响 应 文 件</w:t>
      </w:r>
    </w:p>
    <w:p w14:paraId="488E21D8">
      <w:pPr>
        <w:spacing w:before="240"/>
        <w:rPr>
          <w:rFonts w:hint="eastAsia" w:ascii="Calibri" w:hAnsi="Calibri" w:eastAsia="宋体" w:cs="Times New Roman"/>
          <w:color w:val="auto"/>
          <w:kern w:val="2"/>
          <w:szCs w:val="21"/>
          <w:highlight w:val="none"/>
          <w:lang w:val="en-US" w:eastAsia="zh-CN" w:bidi="ar-SA"/>
        </w:rPr>
      </w:pPr>
    </w:p>
    <w:p w14:paraId="342D3659">
      <w:pPr>
        <w:spacing w:before="240"/>
        <w:rPr>
          <w:rFonts w:hint="eastAsia" w:ascii="Calibri" w:hAnsi="Calibri" w:eastAsia="宋体" w:cs="Times New Roman"/>
          <w:color w:val="auto"/>
          <w:kern w:val="2"/>
          <w:szCs w:val="21"/>
          <w:highlight w:val="none"/>
          <w:lang w:val="en-US" w:eastAsia="zh-CN" w:bidi="ar-SA"/>
        </w:rPr>
      </w:pPr>
    </w:p>
    <w:p w14:paraId="27389D45">
      <w:pPr>
        <w:spacing w:before="240"/>
        <w:rPr>
          <w:rFonts w:hint="eastAsia" w:ascii="Calibri" w:hAnsi="Calibri" w:eastAsia="宋体" w:cs="Times New Roman"/>
          <w:color w:val="auto"/>
          <w:kern w:val="2"/>
          <w:szCs w:val="21"/>
          <w:highlight w:val="none"/>
          <w:lang w:val="en-US" w:eastAsia="zh-CN" w:bidi="ar-SA"/>
        </w:rPr>
      </w:pPr>
    </w:p>
    <w:p w14:paraId="08F4E99B">
      <w:pPr>
        <w:spacing w:before="240"/>
        <w:rPr>
          <w:rFonts w:hint="eastAsia" w:ascii="Calibri" w:hAnsi="Calibri" w:eastAsia="宋体" w:cs="Times New Roman"/>
          <w:color w:val="auto"/>
          <w:kern w:val="2"/>
          <w:sz w:val="28"/>
          <w:szCs w:val="28"/>
          <w:highlight w:val="none"/>
          <w:lang w:val="en-US" w:eastAsia="zh-CN" w:bidi="ar-SA"/>
        </w:rPr>
      </w:pPr>
    </w:p>
    <w:p w14:paraId="6CA22014">
      <w:pPr>
        <w:spacing w:before="240"/>
        <w:rPr>
          <w:rFonts w:hint="eastAsia" w:ascii="Calibri" w:hAnsi="Calibri" w:eastAsia="宋体" w:cs="Times New Roman"/>
          <w:color w:val="auto"/>
          <w:kern w:val="2"/>
          <w:sz w:val="28"/>
          <w:szCs w:val="28"/>
          <w:highlight w:val="none"/>
          <w:lang w:val="en-US" w:eastAsia="zh-CN" w:bidi="ar-SA"/>
        </w:rPr>
      </w:pPr>
      <w:r>
        <w:rPr>
          <w:rFonts w:hint="eastAsia" w:ascii="Calibri" w:hAnsi="Calibri" w:eastAsia="宋体" w:cs="Times New Roman"/>
          <w:color w:val="auto"/>
          <w:kern w:val="2"/>
          <w:sz w:val="28"/>
          <w:szCs w:val="28"/>
          <w:highlight w:val="none"/>
          <w:lang w:val="en-US" w:eastAsia="zh-CN" w:bidi="ar-SA"/>
        </w:rPr>
        <w:t>项目名称：</w:t>
      </w:r>
    </w:p>
    <w:p w14:paraId="10EE48F4">
      <w:pPr>
        <w:spacing w:before="240"/>
        <w:rPr>
          <w:rFonts w:hint="eastAsia" w:ascii="Calibri" w:hAnsi="Calibri" w:eastAsia="宋体" w:cs="Times New Roman"/>
          <w:color w:val="auto"/>
          <w:kern w:val="2"/>
          <w:sz w:val="28"/>
          <w:szCs w:val="28"/>
          <w:highlight w:val="none"/>
          <w:lang w:val="en-US" w:eastAsia="zh-CN" w:bidi="ar-SA"/>
        </w:rPr>
      </w:pPr>
      <w:r>
        <w:rPr>
          <w:rFonts w:hint="eastAsia" w:ascii="Calibri" w:hAnsi="Calibri" w:eastAsia="宋体" w:cs="Times New Roman"/>
          <w:color w:val="auto"/>
          <w:kern w:val="2"/>
          <w:sz w:val="28"/>
          <w:szCs w:val="28"/>
          <w:highlight w:val="none"/>
          <w:lang w:val="en-US" w:eastAsia="zh-CN" w:bidi="ar-SA"/>
        </w:rPr>
        <w:t>供应商名称：</w:t>
      </w:r>
    </w:p>
    <w:p w14:paraId="69FDD153">
      <w:pPr>
        <w:spacing w:before="240"/>
        <w:rPr>
          <w:rFonts w:hint="eastAsia" w:ascii="Calibri" w:hAnsi="Calibri" w:eastAsia="宋体" w:cs="Times New Roman"/>
          <w:color w:val="auto"/>
          <w:kern w:val="2"/>
          <w:sz w:val="28"/>
          <w:szCs w:val="28"/>
          <w:highlight w:val="none"/>
          <w:lang w:val="en-US" w:eastAsia="zh-CN" w:bidi="ar-SA"/>
        </w:rPr>
      </w:pPr>
      <w:r>
        <w:rPr>
          <w:rFonts w:hint="eastAsia" w:ascii="Calibri" w:hAnsi="Calibri" w:eastAsia="宋体" w:cs="Times New Roman"/>
          <w:color w:val="auto"/>
          <w:kern w:val="2"/>
          <w:sz w:val="28"/>
          <w:szCs w:val="28"/>
          <w:highlight w:val="none"/>
          <w:lang w:val="en-US" w:eastAsia="zh-CN" w:bidi="ar-SA"/>
        </w:rPr>
        <w:t>供应商地址：</w:t>
      </w:r>
    </w:p>
    <w:p w14:paraId="0F0B49E4">
      <w:pPr>
        <w:spacing w:before="240"/>
        <w:rPr>
          <w:rFonts w:hint="eastAsia" w:ascii="Calibri" w:hAnsi="Calibri" w:eastAsia="宋体" w:cs="Times New Roman"/>
          <w:color w:val="auto"/>
          <w:kern w:val="2"/>
          <w:sz w:val="28"/>
          <w:szCs w:val="28"/>
          <w:highlight w:val="none"/>
          <w:lang w:val="en-US" w:eastAsia="zh-CN" w:bidi="ar-SA"/>
        </w:rPr>
      </w:pPr>
    </w:p>
    <w:p w14:paraId="6B4D15BB">
      <w:pPr>
        <w:pStyle w:val="2"/>
        <w:rPr>
          <w:rFonts w:hint="eastAsia"/>
          <w:lang w:val="en-US" w:eastAsia="zh-CN"/>
        </w:rPr>
      </w:pPr>
    </w:p>
    <w:p w14:paraId="3CCE1289">
      <w:pPr>
        <w:spacing w:before="240"/>
        <w:jc w:val="center"/>
        <w:rPr>
          <w:rFonts w:hint="eastAsia" w:ascii="Calibri" w:hAnsi="Calibri" w:eastAsia="宋体" w:cs="Times New Roman"/>
          <w:color w:val="auto"/>
          <w:kern w:val="2"/>
          <w:sz w:val="28"/>
          <w:szCs w:val="28"/>
          <w:highlight w:val="none"/>
          <w:lang w:val="en-US" w:eastAsia="zh-CN" w:bidi="ar-SA"/>
        </w:rPr>
      </w:pPr>
      <w:r>
        <w:rPr>
          <w:rFonts w:hint="eastAsia" w:ascii="Calibri" w:hAnsi="Calibri" w:eastAsia="宋体" w:cs="Times New Roman"/>
          <w:color w:val="auto"/>
          <w:kern w:val="2"/>
          <w:sz w:val="28"/>
          <w:szCs w:val="28"/>
          <w:highlight w:val="none"/>
          <w:lang w:val="en-US" w:eastAsia="zh-CN" w:bidi="ar-SA"/>
        </w:rPr>
        <w:t>在      年    月    日    时    分之前不得开启</w:t>
      </w:r>
    </w:p>
    <w:p w14:paraId="3FD24E5F">
      <w:r>
        <w:br w:type="page"/>
      </w:r>
    </w:p>
    <w:p w14:paraId="030512AD">
      <w:pPr>
        <w:spacing w:before="120" w:after="200"/>
        <w:jc w:val="both"/>
        <w:rPr>
          <w:rFonts w:hint="eastAsia" w:eastAsia="黑体"/>
          <w:lang w:eastAsia="zh-CN"/>
        </w:rPr>
      </w:pPr>
      <w:r>
        <w:rPr>
          <w:rFonts w:ascii="Times New Roman" w:hAnsi="Times New Roman" w:eastAsia="黑体" w:cs="Times New Roman"/>
          <w:b/>
          <w:bCs/>
          <w:sz w:val="28"/>
          <w:szCs w:val="28"/>
        </w:rPr>
        <w:t>附件</w:t>
      </w:r>
      <w:r>
        <w:rPr>
          <w:rFonts w:hint="eastAsia" w:eastAsia="黑体" w:cs="Times New Roman"/>
          <w:b/>
          <w:bCs/>
          <w:sz w:val="28"/>
          <w:szCs w:val="28"/>
          <w:lang w:val="en-US" w:eastAsia="zh-CN"/>
        </w:rPr>
        <w:t>3</w:t>
      </w:r>
    </w:p>
    <w:p w14:paraId="2E565EA9">
      <w:pPr>
        <w:spacing w:before="240"/>
        <w:jc w:val="center"/>
        <w:rPr>
          <w:rFonts w:hint="eastAsia" w:ascii="黑体" w:hAnsi="黑体" w:eastAsia="黑体" w:cs="黑体"/>
          <w:b/>
          <w:color w:val="auto"/>
          <w:kern w:val="2"/>
          <w:sz w:val="30"/>
          <w:szCs w:val="30"/>
          <w:highlight w:val="none"/>
          <w:lang w:val="en-US" w:eastAsia="zh-CN" w:bidi="ar-SA"/>
        </w:rPr>
      </w:pPr>
      <w:r>
        <w:rPr>
          <w:rFonts w:hint="eastAsia" w:ascii="黑体" w:hAnsi="黑体" w:eastAsia="黑体" w:cs="黑体"/>
          <w:b/>
          <w:color w:val="auto"/>
          <w:kern w:val="2"/>
          <w:sz w:val="30"/>
          <w:szCs w:val="30"/>
          <w:highlight w:val="none"/>
          <w:lang w:val="en-US" w:eastAsia="zh-CN" w:bidi="ar-SA"/>
        </w:rPr>
        <w:t>报价函（格式）</w:t>
      </w:r>
    </w:p>
    <w:p w14:paraId="48A762DA">
      <w:pPr>
        <w:keepNext w:val="0"/>
        <w:keepLines w:val="0"/>
        <w:pageBreakBefore w:val="0"/>
        <w:widowControl w:val="0"/>
        <w:kinsoku/>
        <w:wordWrap/>
        <w:overflowPunct/>
        <w:topLinePunct w:val="0"/>
        <w:autoSpaceDE/>
        <w:autoSpaceDN/>
        <w:bidi w:val="0"/>
        <w:adjustRightInd/>
        <w:snapToGrid/>
        <w:spacing w:before="120" w:after="120" w:line="40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致：广西国宏经济发展集团有限公司</w:t>
      </w:r>
    </w:p>
    <w:p w14:paraId="2009AA96">
      <w:pPr>
        <w:keepNext w:val="0"/>
        <w:keepLines w:val="0"/>
        <w:pageBreakBefore w:val="0"/>
        <w:widowControl w:val="0"/>
        <w:kinsoku/>
        <w:wordWrap/>
        <w:overflowPunct/>
        <w:topLinePunct w:val="0"/>
        <w:autoSpaceDE/>
        <w:autoSpaceDN/>
        <w:bidi w:val="0"/>
        <w:adjustRightInd/>
        <w:snapToGrid/>
        <w:spacing w:before="120" w:after="120"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依据贵方广西国宏经济发展集团有限公司合同管理系统实施服务采购项目采购文件（以下简称采购文件），我方正式授权下述签字人＿＿＿＿＿（姓名和职务）代表报价人＿＿＿＿＿（报价单位名称），提交采购文件中要求报价人提交的全部文件正本壹份。</w:t>
      </w:r>
    </w:p>
    <w:p w14:paraId="4E71C6EC">
      <w:pPr>
        <w:keepNext w:val="0"/>
        <w:keepLines w:val="0"/>
        <w:pageBreakBefore w:val="0"/>
        <w:widowControl w:val="0"/>
        <w:kinsoku/>
        <w:wordWrap/>
        <w:overflowPunct/>
        <w:topLinePunct w:val="0"/>
        <w:autoSpaceDE/>
        <w:autoSpaceDN/>
        <w:bidi w:val="0"/>
        <w:adjustRightInd/>
        <w:snapToGrid/>
        <w:spacing w:before="120" w:after="120"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据此函，签字人兹宣布同意如下：</w:t>
      </w:r>
    </w:p>
    <w:p w14:paraId="59117DB2">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（1）按照采购文件，我方报价以固定总价（包干价）为人民币＿＿＿＿＿元（大写：＿＿＿＿＿，包括税费、服务费、人工费、实施费、</w:t>
      </w:r>
      <w:r>
        <w:rPr>
          <w:rFonts w:hint="eastAsia" w:ascii="宋体" w:hAnsi="宋体" w:eastAsia="宋体" w:cs="宋体"/>
          <w:b w:val="0"/>
          <w:bCs w:val="0"/>
          <w:sz w:val="24"/>
          <w:szCs w:val="24"/>
          <w:lang w:eastAsia="zh-CN"/>
        </w:rPr>
        <w:t>承诺运维期的</w:t>
      </w:r>
      <w:r>
        <w:rPr>
          <w:rFonts w:hint="eastAsia" w:ascii="宋体" w:hAnsi="宋体" w:eastAsia="宋体" w:cs="宋体"/>
          <w:b w:val="0"/>
          <w:bCs w:val="0"/>
          <w:sz w:val="24"/>
          <w:szCs w:val="24"/>
        </w:rPr>
        <w:t>运维费、差旅费等全部费用）；</w:t>
      </w:r>
    </w:p>
    <w:p w14:paraId="7A6A96FF">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（2）将按采购文件的要求履行合同责任和义务，自合同签订之日起60个日历日内完成系统部署实施并上线试运行；</w:t>
      </w:r>
    </w:p>
    <w:p w14:paraId="5AD84093">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（3）我方已详细阅读采购文件全部内容；完全理解并接受采购文件的各项规定和要求，同时我们也完全理解并同意放弃对这方面有不明及误解的权利，对采购文件的合理性、合法性不再有异议。</w:t>
      </w:r>
    </w:p>
    <w:p w14:paraId="21659430">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（4）同意提供按照贵方可能要求的与其询价有关的一切数据或资料；</w:t>
      </w:r>
    </w:p>
    <w:p w14:paraId="45B85289">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（5）与本报价有关的一切正式往来信函请寄（具体地址）：＿＿＿＿＿或通过电子邮件发送到（电子邮件收件地址）：＿＿＿＿＿。联系人：＿＿＿＿＿</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电话：＿＿＿＿＿</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　</w:t>
      </w:r>
    </w:p>
    <w:p w14:paraId="1383A44E">
      <w:pPr>
        <w:keepNext w:val="0"/>
        <w:keepLines w:val="0"/>
        <w:pageBreakBefore w:val="0"/>
        <w:widowControl w:val="0"/>
        <w:kinsoku/>
        <w:wordWrap/>
        <w:overflowPunct/>
        <w:topLinePunct w:val="0"/>
        <w:autoSpaceDE/>
        <w:autoSpaceDN/>
        <w:bidi w:val="0"/>
        <w:adjustRightInd/>
        <w:snapToGrid/>
        <w:spacing w:before="40" w:after="40" w:line="40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（6）本报价有效期自截标日起60个自然日。</w:t>
      </w:r>
    </w:p>
    <w:p w14:paraId="7C276A10">
      <w:pPr>
        <w:keepNext w:val="0"/>
        <w:keepLines w:val="0"/>
        <w:pageBreakBefore w:val="0"/>
        <w:widowControl w:val="0"/>
        <w:kinsoku/>
        <w:wordWrap/>
        <w:overflowPunct/>
        <w:topLinePunct w:val="0"/>
        <w:autoSpaceDE/>
        <w:autoSpaceDN/>
        <w:bidi w:val="0"/>
        <w:adjustRightInd/>
        <w:snapToGrid/>
        <w:spacing w:before="200" w:after="200" w:line="400" w:lineRule="exact"/>
        <w:textAlignment w:val="auto"/>
        <w:rPr>
          <w:rFonts w:hint="eastAsia" w:ascii="宋体" w:hAnsi="宋体" w:eastAsia="宋体" w:cs="宋体"/>
          <w:b w:val="0"/>
          <w:bCs w:val="0"/>
          <w:sz w:val="24"/>
          <w:szCs w:val="24"/>
        </w:rPr>
      </w:pPr>
    </w:p>
    <w:p w14:paraId="479CF054">
      <w:pPr>
        <w:keepNext w:val="0"/>
        <w:keepLines w:val="0"/>
        <w:pageBreakBefore w:val="0"/>
        <w:widowControl w:val="0"/>
        <w:kinsoku/>
        <w:wordWrap/>
        <w:overflowPunct/>
        <w:topLinePunct w:val="0"/>
        <w:autoSpaceDE/>
        <w:autoSpaceDN/>
        <w:bidi w:val="0"/>
        <w:adjustRightInd/>
        <w:snapToGrid/>
        <w:spacing w:before="200" w:after="200" w:line="40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法定代表人（若为其他组织形式无法定代表人的应为机构负责人）或相应的委托代理人签字：</w:t>
      </w:r>
    </w:p>
    <w:p w14:paraId="41B8C658">
      <w:pPr>
        <w:keepNext w:val="0"/>
        <w:keepLines w:val="0"/>
        <w:pageBreakBefore w:val="0"/>
        <w:widowControl w:val="0"/>
        <w:kinsoku/>
        <w:wordWrap/>
        <w:overflowPunct/>
        <w:topLinePunct w:val="0"/>
        <w:autoSpaceDE/>
        <w:autoSpaceDN/>
        <w:bidi w:val="0"/>
        <w:adjustRightInd/>
        <w:snapToGrid/>
        <w:spacing w:before="120" w:after="120" w:line="40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报价人（公章）：</w:t>
      </w:r>
    </w:p>
    <w:p w14:paraId="4670439E">
      <w:pPr>
        <w:keepNext w:val="0"/>
        <w:keepLines w:val="0"/>
        <w:pageBreakBefore w:val="0"/>
        <w:widowControl w:val="0"/>
        <w:kinsoku/>
        <w:wordWrap/>
        <w:overflowPunct/>
        <w:topLinePunct w:val="0"/>
        <w:autoSpaceDE/>
        <w:autoSpaceDN/>
        <w:bidi w:val="0"/>
        <w:adjustRightInd/>
        <w:snapToGrid/>
        <w:spacing w:before="120" w:after="120" w:line="40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日　　期：　　年　　月　　日</w:t>
      </w:r>
    </w:p>
    <w:p w14:paraId="6281E5D5">
      <w:pPr>
        <w:keepNext w:val="0"/>
        <w:keepLines w:val="0"/>
        <w:pageBreakBefore w:val="0"/>
        <w:widowControl w:val="0"/>
        <w:kinsoku/>
        <w:wordWrap/>
        <w:overflowPunct/>
        <w:topLinePunct w:val="0"/>
        <w:autoSpaceDE/>
        <w:autoSpaceDN/>
        <w:bidi w:val="0"/>
        <w:adjustRightInd/>
        <w:snapToGrid/>
        <w:spacing w:before="40" w:after="40" w:line="400" w:lineRule="exact"/>
        <w:textAlignment w:val="auto"/>
        <w:rPr>
          <w:rFonts w:hint="eastAsia" w:ascii="宋体" w:hAnsi="宋体" w:eastAsia="宋体" w:cs="宋体"/>
          <w:b w:val="0"/>
          <w:bCs w:val="0"/>
          <w:sz w:val="24"/>
          <w:szCs w:val="24"/>
        </w:rPr>
      </w:pPr>
    </w:p>
    <w:p w14:paraId="1CE5B979">
      <w:pPr>
        <w:keepNext w:val="0"/>
        <w:keepLines w:val="0"/>
        <w:pageBreakBefore w:val="0"/>
        <w:widowControl w:val="0"/>
        <w:kinsoku/>
        <w:wordWrap/>
        <w:overflowPunct/>
        <w:topLinePunct w:val="0"/>
        <w:autoSpaceDE/>
        <w:autoSpaceDN/>
        <w:bidi w:val="0"/>
        <w:adjustRightInd/>
        <w:snapToGrid/>
        <w:spacing w:before="40" w:after="40"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注：报价函须由法定代表人（若为其他组织形式无法定代表人的应为机构负责人）或委托代理人签字并加盖报价人公章。</w:t>
      </w:r>
    </w:p>
    <w:p w14:paraId="189269E6">
      <w:r>
        <w:br w:type="page"/>
      </w:r>
    </w:p>
    <w:p w14:paraId="0662C554">
      <w:pPr>
        <w:spacing w:before="120" w:after="200"/>
        <w:jc w:val="both"/>
        <w:rPr>
          <w:rFonts w:hint="eastAsia" w:eastAsia="黑体"/>
          <w:lang w:eastAsia="zh-CN"/>
        </w:rPr>
      </w:pPr>
      <w:r>
        <w:rPr>
          <w:rFonts w:ascii="Times New Roman" w:hAnsi="Times New Roman" w:eastAsia="黑体" w:cs="Times New Roman"/>
          <w:b/>
          <w:bCs/>
          <w:sz w:val="28"/>
          <w:szCs w:val="28"/>
        </w:rPr>
        <w:t>附件</w:t>
      </w:r>
      <w:r>
        <w:rPr>
          <w:rFonts w:hint="eastAsia" w:eastAsia="黑体" w:cs="Times New Roman"/>
          <w:b/>
          <w:bCs/>
          <w:sz w:val="28"/>
          <w:szCs w:val="28"/>
          <w:lang w:val="en-US" w:eastAsia="zh-CN"/>
        </w:rPr>
        <w:t>4</w:t>
      </w:r>
    </w:p>
    <w:p w14:paraId="76DB8284">
      <w:pPr>
        <w:spacing w:before="240"/>
        <w:jc w:val="center"/>
        <w:rPr>
          <w:rFonts w:hint="eastAsia" w:ascii="黑体" w:hAnsi="黑体" w:eastAsia="黑体" w:cs="黑体"/>
          <w:b/>
          <w:color w:val="auto"/>
          <w:kern w:val="2"/>
          <w:sz w:val="30"/>
          <w:szCs w:val="30"/>
          <w:highlight w:val="none"/>
          <w:lang w:val="en-US" w:eastAsia="zh-CN" w:bidi="ar-SA"/>
        </w:rPr>
      </w:pPr>
      <w:r>
        <w:rPr>
          <w:rFonts w:hint="eastAsia" w:ascii="黑体" w:hAnsi="黑体" w:eastAsia="黑体" w:cs="黑体"/>
          <w:b/>
          <w:color w:val="auto"/>
          <w:kern w:val="2"/>
          <w:sz w:val="30"/>
          <w:szCs w:val="30"/>
          <w:highlight w:val="none"/>
          <w:lang w:val="en-US" w:eastAsia="zh-CN" w:bidi="ar-SA"/>
        </w:rPr>
        <w:t>授权委托书</w:t>
      </w:r>
    </w:p>
    <w:p w14:paraId="6690259E">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广西国宏经济发展集团有限公司：</w:t>
      </w:r>
    </w:p>
    <w:p w14:paraId="1B7BA2FC">
      <w:pPr>
        <w:keepNext w:val="0"/>
        <w:keepLines w:val="0"/>
        <w:pageBreakBefore w:val="0"/>
        <w:widowControl w:val="0"/>
        <w:kinsoku/>
        <w:wordWrap/>
        <w:overflowPunct/>
        <w:topLinePunct w:val="0"/>
        <w:autoSpaceDE/>
        <w:autoSpaceDN/>
        <w:bidi w:val="0"/>
        <w:adjustRightInd/>
        <w:snapToGrid/>
        <w:spacing w:before="120" w:after="12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我＿＿＿＿＿（姓名）系＿＿＿＿＿（报价人名称）的法定代表人（若为其他组织形式无法定代表人的应为机构负责人），现授权委托＿＿＿＿＿（姓名）以我方的名义参加广西国宏经济发展集团有限公司合同管理系统实施服务采购项目的报价活动，并代表我方全权办理针对上述项目的报价签约等具体事务和签署相关文件。</w:t>
      </w:r>
    </w:p>
    <w:p w14:paraId="50E1DB0F">
      <w:pPr>
        <w:keepNext w:val="0"/>
        <w:keepLines w:val="0"/>
        <w:pageBreakBefore w:val="0"/>
        <w:widowControl w:val="0"/>
        <w:kinsoku/>
        <w:wordWrap/>
        <w:overflowPunct/>
        <w:topLinePunct w:val="0"/>
        <w:autoSpaceDE/>
        <w:autoSpaceDN/>
        <w:bidi w:val="0"/>
        <w:adjustRightInd/>
        <w:snapToGrid/>
        <w:spacing w:before="60" w:after="6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我方对被授权人的签名事项负全部责任。</w:t>
      </w:r>
    </w:p>
    <w:p w14:paraId="4C954861">
      <w:pPr>
        <w:keepNext w:val="0"/>
        <w:keepLines w:val="0"/>
        <w:pageBreakBefore w:val="0"/>
        <w:widowControl w:val="0"/>
        <w:kinsoku/>
        <w:wordWrap/>
        <w:overflowPunct/>
        <w:topLinePunct w:val="0"/>
        <w:autoSpaceDE/>
        <w:autoSpaceDN/>
        <w:bidi w:val="0"/>
        <w:adjustRightInd/>
        <w:snapToGrid/>
        <w:spacing w:before="60" w:after="6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在撤销授权的书面通知以前，本授权书一直有效。被授权人在授权书有效期内签署的所有文件不因授权的撤销而失效。</w:t>
      </w:r>
    </w:p>
    <w:p w14:paraId="2E42D7B5">
      <w:pPr>
        <w:keepNext w:val="0"/>
        <w:keepLines w:val="0"/>
        <w:pageBreakBefore w:val="0"/>
        <w:widowControl w:val="0"/>
        <w:kinsoku/>
        <w:wordWrap/>
        <w:overflowPunct/>
        <w:topLinePunct w:val="0"/>
        <w:autoSpaceDE/>
        <w:autoSpaceDN/>
        <w:bidi w:val="0"/>
        <w:adjustRightInd/>
        <w:snapToGrid/>
        <w:spacing w:before="60" w:after="12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被授权人无转委托权，特此委托。</w:t>
      </w:r>
    </w:p>
    <w:p w14:paraId="43F1FA91">
      <w:pPr>
        <w:keepNext w:val="0"/>
        <w:keepLines w:val="0"/>
        <w:pageBreakBefore w:val="0"/>
        <w:widowControl w:val="0"/>
        <w:kinsoku/>
        <w:wordWrap/>
        <w:overflowPunct/>
        <w:topLinePunct w:val="0"/>
        <w:autoSpaceDE/>
        <w:autoSpaceDN/>
        <w:bidi w:val="0"/>
        <w:adjustRightInd/>
        <w:snapToGrid/>
        <w:spacing w:before="120" w:after="12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被授权人签名：</w:t>
      </w:r>
    </w:p>
    <w:p w14:paraId="4B12646B">
      <w:pPr>
        <w:keepNext w:val="0"/>
        <w:keepLines w:val="0"/>
        <w:pageBreakBefore w:val="0"/>
        <w:widowControl w:val="0"/>
        <w:kinsoku/>
        <w:wordWrap/>
        <w:overflowPunct/>
        <w:topLinePunct w:val="0"/>
        <w:autoSpaceDE/>
        <w:autoSpaceDN/>
        <w:bidi w:val="0"/>
        <w:adjustRightInd/>
        <w:snapToGrid/>
        <w:spacing w:before="60" w:after="6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所在部门职务：　　　　职务：</w:t>
      </w:r>
    </w:p>
    <w:p w14:paraId="64254E04">
      <w:pPr>
        <w:keepNext w:val="0"/>
        <w:keepLines w:val="0"/>
        <w:pageBreakBefore w:val="0"/>
        <w:widowControl w:val="0"/>
        <w:kinsoku/>
        <w:wordWrap/>
        <w:overflowPunct/>
        <w:topLinePunct w:val="0"/>
        <w:autoSpaceDE/>
        <w:autoSpaceDN/>
        <w:bidi w:val="0"/>
        <w:adjustRightInd/>
        <w:snapToGrid/>
        <w:spacing w:before="60" w:after="12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被授权人身份证号码：</w:t>
      </w:r>
    </w:p>
    <w:p w14:paraId="6705D0F9">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b w:val="0"/>
          <w:bCs w:val="0"/>
          <w:sz w:val="24"/>
          <w:szCs w:val="24"/>
        </w:rPr>
      </w:pPr>
    </w:p>
    <w:p w14:paraId="70D6AF02">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报价人（公章）：</w:t>
      </w:r>
    </w:p>
    <w:p w14:paraId="163FF16E">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法定代表人（若为其他组织形式无法定代表人的应为机构负责人）签字或盖章：</w:t>
      </w:r>
    </w:p>
    <w:p w14:paraId="73B552BF">
      <w:pPr>
        <w:keepNext w:val="0"/>
        <w:keepLines w:val="0"/>
        <w:pageBreakBefore w:val="0"/>
        <w:widowControl w:val="0"/>
        <w:kinsoku/>
        <w:wordWrap/>
        <w:overflowPunct/>
        <w:topLinePunct w:val="0"/>
        <w:autoSpaceDE/>
        <w:autoSpaceDN/>
        <w:bidi w:val="0"/>
        <w:adjustRightInd/>
        <w:snapToGrid/>
        <w:spacing w:before="120" w:after="120" w:line="560" w:lineRule="exact"/>
        <w:jc w:val="right"/>
        <w:textAlignment w:val="auto"/>
        <w:rPr>
          <w:rFonts w:hint="eastAsia" w:ascii="宋体" w:hAnsi="宋体" w:eastAsia="宋体" w:cs="宋体"/>
          <w:sz w:val="24"/>
          <w:szCs w:val="24"/>
        </w:rPr>
      </w:pPr>
      <w:r>
        <w:rPr>
          <w:rFonts w:hint="eastAsia" w:ascii="宋体" w:hAnsi="宋体" w:eastAsia="宋体" w:cs="宋体"/>
          <w:b w:val="0"/>
          <w:bCs w:val="0"/>
          <w:sz w:val="24"/>
          <w:szCs w:val="24"/>
        </w:rPr>
        <w:t>　　　年　　月　　日</w:t>
      </w:r>
    </w:p>
    <w:p w14:paraId="19795D64">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附：委托代理人有效的身份证正反两面复印件</w:t>
      </w:r>
    </w:p>
    <w:p w14:paraId="265175D3">
      <w:r>
        <w:br w:type="page"/>
      </w:r>
    </w:p>
    <w:p w14:paraId="4E9884B9">
      <w:pPr>
        <w:spacing w:before="120" w:after="200"/>
        <w:jc w:val="both"/>
        <w:rPr>
          <w:rFonts w:hint="eastAsia" w:eastAsia="黑体"/>
          <w:lang w:eastAsia="zh-CN"/>
        </w:rPr>
      </w:pPr>
      <w:r>
        <w:rPr>
          <w:rFonts w:ascii="Times New Roman" w:hAnsi="Times New Roman" w:eastAsia="黑体" w:cs="Times New Roman"/>
          <w:b/>
          <w:bCs/>
          <w:sz w:val="28"/>
          <w:szCs w:val="28"/>
        </w:rPr>
        <w:t>附件</w:t>
      </w:r>
      <w:r>
        <w:rPr>
          <w:rFonts w:hint="eastAsia" w:eastAsia="黑体" w:cs="Times New Roman"/>
          <w:b/>
          <w:bCs/>
          <w:sz w:val="28"/>
          <w:szCs w:val="28"/>
          <w:lang w:val="en-US" w:eastAsia="zh-CN"/>
        </w:rPr>
        <w:t>5</w:t>
      </w:r>
    </w:p>
    <w:p w14:paraId="7121465E">
      <w:pPr>
        <w:spacing w:before="240"/>
        <w:jc w:val="center"/>
        <w:rPr>
          <w:rFonts w:hint="eastAsia" w:ascii="黑体" w:hAnsi="黑体" w:eastAsia="黑体" w:cs="黑体"/>
          <w:b/>
          <w:color w:val="auto"/>
          <w:kern w:val="2"/>
          <w:sz w:val="30"/>
          <w:szCs w:val="30"/>
          <w:highlight w:val="none"/>
          <w:lang w:val="en-US" w:eastAsia="zh-CN" w:bidi="ar-SA"/>
        </w:rPr>
      </w:pPr>
      <w:r>
        <w:rPr>
          <w:rFonts w:hint="eastAsia" w:ascii="黑体" w:hAnsi="黑体" w:eastAsia="黑体" w:cs="黑体"/>
          <w:b/>
          <w:color w:val="auto"/>
          <w:kern w:val="2"/>
          <w:sz w:val="30"/>
          <w:szCs w:val="30"/>
          <w:highlight w:val="none"/>
          <w:lang w:val="en-US" w:eastAsia="zh-CN" w:bidi="ar-SA"/>
        </w:rPr>
        <w:t>无重大违法记录及信用承诺函</w:t>
      </w:r>
    </w:p>
    <w:p w14:paraId="51214CE9">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广西国宏经济发展集团有限公司：</w:t>
      </w:r>
    </w:p>
    <w:p w14:paraId="57FC9429">
      <w:pPr>
        <w:keepNext w:val="0"/>
        <w:keepLines w:val="0"/>
        <w:pageBreakBefore w:val="0"/>
        <w:widowControl w:val="0"/>
        <w:kinsoku/>
        <w:wordWrap/>
        <w:overflowPunct/>
        <w:topLinePunct w:val="0"/>
        <w:autoSpaceDE/>
        <w:autoSpaceDN/>
        <w:bidi w:val="0"/>
        <w:adjustRightInd/>
        <w:snapToGrid/>
        <w:spacing w:before="120" w:after="12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我方＿＿＿＿＿（报价人名称），统一社会信用代码＿＿＿＿＿，现就参与贵方组织的广西国宏经济发展集团有限公司合同管理系统实施服务采购项目，郑重承诺：</w:t>
      </w:r>
    </w:p>
    <w:p w14:paraId="76C87C22">
      <w:pPr>
        <w:keepNext w:val="0"/>
        <w:keepLines w:val="0"/>
        <w:pageBreakBefore w:val="0"/>
        <w:widowControl w:val="0"/>
        <w:kinsoku/>
        <w:wordWrap/>
        <w:overflowPunct/>
        <w:topLinePunct w:val="0"/>
        <w:autoSpaceDE/>
        <w:autoSpaceDN/>
        <w:bidi w:val="0"/>
        <w:adjustRightInd/>
        <w:snapToGrid/>
        <w:spacing w:before="40" w:after="40" w:line="56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一、我方参加采购活动前三年内，在经营活动中无重大违法记录，未因违法经营受到刑事处罚或者责令停产停业、吊销许可证或者执照、较大数额罚款等行政处罚；</w:t>
      </w:r>
    </w:p>
    <w:p w14:paraId="6F5BDCD3">
      <w:pPr>
        <w:keepNext w:val="0"/>
        <w:keepLines w:val="0"/>
        <w:pageBreakBefore w:val="0"/>
        <w:widowControl w:val="0"/>
        <w:kinsoku/>
        <w:wordWrap/>
        <w:overflowPunct/>
        <w:topLinePunct w:val="0"/>
        <w:autoSpaceDE/>
        <w:autoSpaceDN/>
        <w:bidi w:val="0"/>
        <w:adjustRightInd/>
        <w:snapToGrid/>
        <w:spacing w:before="40" w:after="40" w:line="56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二、我方在“信用中国”网站（www.creditchina.gov.cn）、中国政府采购网（www.ccgp.gov.cn）无失信被执行人、重大税收违法失信主体、政府采购严重违法失信行为记录；</w:t>
      </w:r>
    </w:p>
    <w:p w14:paraId="16AEEA3C">
      <w:pPr>
        <w:keepNext w:val="0"/>
        <w:keepLines w:val="0"/>
        <w:pageBreakBefore w:val="0"/>
        <w:widowControl w:val="0"/>
        <w:kinsoku/>
        <w:wordWrap/>
        <w:overflowPunct/>
        <w:topLinePunct w:val="0"/>
        <w:autoSpaceDE/>
        <w:autoSpaceDN/>
        <w:bidi w:val="0"/>
        <w:adjustRightInd/>
        <w:snapToGrid/>
        <w:spacing w:before="40" w:after="40" w:line="56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三、我方提供的全部报价材料真实、合法、有效，不存在虚假材料、串通响应或其他不正当手段影响评审公正性的情形；</w:t>
      </w:r>
    </w:p>
    <w:p w14:paraId="7F3EDE14">
      <w:pPr>
        <w:keepNext w:val="0"/>
        <w:keepLines w:val="0"/>
        <w:pageBreakBefore w:val="0"/>
        <w:widowControl w:val="0"/>
        <w:kinsoku/>
        <w:wordWrap/>
        <w:overflowPunct/>
        <w:topLinePunct w:val="0"/>
        <w:autoSpaceDE/>
        <w:autoSpaceDN/>
        <w:bidi w:val="0"/>
        <w:adjustRightInd/>
        <w:snapToGrid/>
        <w:spacing w:before="40" w:after="40" w:line="560" w:lineRule="exact"/>
        <w:ind w:left="420"/>
        <w:textAlignment w:val="auto"/>
        <w:rPr>
          <w:rFonts w:hint="eastAsia" w:ascii="宋体" w:hAnsi="宋体" w:eastAsia="宋体" w:cs="宋体"/>
          <w:sz w:val="24"/>
          <w:szCs w:val="24"/>
        </w:rPr>
      </w:pPr>
      <w:r>
        <w:rPr>
          <w:rFonts w:hint="eastAsia" w:ascii="宋体" w:hAnsi="宋体" w:eastAsia="宋体" w:cs="宋体"/>
          <w:b w:val="0"/>
          <w:bCs w:val="0"/>
          <w:sz w:val="24"/>
          <w:szCs w:val="24"/>
        </w:rPr>
        <w:t>四、我方承诺上述内容真实准确完整，如有虚假，自愿承担由此产生的一切法律后果，并接受按无效响应处理。</w:t>
      </w:r>
    </w:p>
    <w:p w14:paraId="21EAE248">
      <w:pPr>
        <w:keepNext w:val="0"/>
        <w:keepLines w:val="0"/>
        <w:pageBreakBefore w:val="0"/>
        <w:widowControl w:val="0"/>
        <w:kinsoku/>
        <w:wordWrap/>
        <w:overflowPunct/>
        <w:topLinePunct w:val="0"/>
        <w:autoSpaceDE/>
        <w:autoSpaceDN/>
        <w:bidi w:val="0"/>
        <w:adjustRightInd/>
        <w:snapToGrid/>
        <w:spacing w:before="20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承诺人（报价人公章）：</w:t>
      </w:r>
    </w:p>
    <w:p w14:paraId="2214075A">
      <w:pPr>
        <w:keepNext w:val="0"/>
        <w:keepLines w:val="0"/>
        <w:pageBreakBefore w:val="0"/>
        <w:widowControl w:val="0"/>
        <w:kinsoku/>
        <w:wordWrap/>
        <w:overflowPunct/>
        <w:topLinePunct w:val="0"/>
        <w:autoSpaceDE/>
        <w:autoSpaceDN/>
        <w:bidi w:val="0"/>
        <w:adjustRightInd/>
        <w:snapToGrid/>
        <w:spacing w:before="120" w:after="120" w:line="5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法定代表人或授权委托代理人（签字）：</w:t>
      </w:r>
    </w:p>
    <w:p w14:paraId="17BD8232">
      <w:pPr>
        <w:keepNext w:val="0"/>
        <w:keepLines w:val="0"/>
        <w:pageBreakBefore w:val="0"/>
        <w:widowControl w:val="0"/>
        <w:kinsoku/>
        <w:wordWrap/>
        <w:overflowPunct/>
        <w:topLinePunct w:val="0"/>
        <w:autoSpaceDE/>
        <w:autoSpaceDN/>
        <w:bidi w:val="0"/>
        <w:adjustRightInd/>
        <w:snapToGrid/>
        <w:spacing w:before="120" w:after="120" w:line="560" w:lineRule="exact"/>
        <w:jc w:val="right"/>
        <w:textAlignment w:val="auto"/>
      </w:pPr>
      <w:r>
        <w:rPr>
          <w:rFonts w:hint="eastAsia" w:ascii="宋体" w:hAnsi="宋体" w:eastAsia="宋体" w:cs="宋体"/>
          <w:b w:val="0"/>
          <w:bCs w:val="0"/>
          <w:sz w:val="24"/>
          <w:szCs w:val="24"/>
        </w:rPr>
        <w:t>　　　年　　月　　日</w:t>
      </w:r>
      <w:r>
        <w:br w:type="page"/>
      </w:r>
    </w:p>
    <w:p w14:paraId="3CF8FED9">
      <w:pPr>
        <w:spacing w:before="120" w:after="200"/>
        <w:jc w:val="both"/>
        <w:rPr>
          <w:rFonts w:hint="eastAsia" w:eastAsia="黑体"/>
          <w:lang w:eastAsia="zh-CN"/>
        </w:rPr>
      </w:pPr>
      <w:r>
        <w:rPr>
          <w:rFonts w:ascii="Times New Roman" w:hAnsi="Times New Roman" w:eastAsia="黑体" w:cs="Times New Roman"/>
          <w:b/>
          <w:bCs/>
          <w:sz w:val="28"/>
          <w:szCs w:val="28"/>
        </w:rPr>
        <w:t>附件</w:t>
      </w:r>
      <w:r>
        <w:rPr>
          <w:rFonts w:hint="eastAsia" w:eastAsia="黑体" w:cs="Times New Roman"/>
          <w:b/>
          <w:bCs/>
          <w:sz w:val="28"/>
          <w:szCs w:val="28"/>
          <w:lang w:val="en-US" w:eastAsia="zh-CN"/>
        </w:rPr>
        <w:t>6</w:t>
      </w:r>
    </w:p>
    <w:p w14:paraId="6CCF42CC">
      <w:pPr>
        <w:spacing w:before="240"/>
        <w:jc w:val="center"/>
        <w:rPr>
          <w:rFonts w:hint="eastAsia" w:ascii="宋体" w:hAnsi="宋体" w:eastAsia="宋体" w:cs="宋体"/>
          <w:b/>
          <w:bCs w:val="0"/>
          <w:color w:val="auto"/>
          <w:kern w:val="2"/>
          <w:sz w:val="30"/>
          <w:szCs w:val="30"/>
          <w:highlight w:val="none"/>
          <w:lang w:val="en-US" w:eastAsia="zh-CN" w:bidi="ar-SA"/>
        </w:rPr>
      </w:pPr>
      <w:r>
        <w:rPr>
          <w:rFonts w:hint="eastAsia" w:ascii="宋体" w:hAnsi="宋体" w:eastAsia="宋体" w:cs="宋体"/>
          <w:b/>
          <w:bCs w:val="0"/>
          <w:color w:val="auto"/>
          <w:kern w:val="2"/>
          <w:sz w:val="30"/>
          <w:szCs w:val="30"/>
          <w:highlight w:val="none"/>
          <w:lang w:val="en-US" w:eastAsia="zh-CN" w:bidi="ar-SA"/>
        </w:rPr>
        <w:t>广西国宏经济发展集团有限公司合同管理系统实施服务采购项目</w:t>
      </w:r>
    </w:p>
    <w:p w14:paraId="08081990">
      <w:pPr>
        <w:spacing w:before="240"/>
        <w:jc w:val="center"/>
        <w:rPr>
          <w:rFonts w:hint="eastAsia" w:ascii="宋体" w:hAnsi="宋体" w:eastAsia="宋体" w:cs="宋体"/>
          <w:b/>
          <w:bCs w:val="0"/>
          <w:color w:val="auto"/>
          <w:kern w:val="2"/>
          <w:sz w:val="30"/>
          <w:szCs w:val="30"/>
          <w:highlight w:val="none"/>
          <w:lang w:val="en-US" w:eastAsia="zh-CN" w:bidi="ar-SA"/>
        </w:rPr>
      </w:pPr>
      <w:r>
        <w:rPr>
          <w:rFonts w:hint="eastAsia" w:ascii="宋体" w:hAnsi="宋体" w:eastAsia="宋体" w:cs="宋体"/>
          <w:b/>
          <w:bCs w:val="0"/>
          <w:color w:val="auto"/>
          <w:kern w:val="2"/>
          <w:sz w:val="30"/>
          <w:szCs w:val="30"/>
          <w:highlight w:val="none"/>
          <w:lang w:val="en-US" w:eastAsia="zh-CN" w:bidi="ar-SA"/>
        </w:rPr>
        <w:t>评标办法及评分标准</w:t>
      </w:r>
    </w:p>
    <w:p w14:paraId="70817D27">
      <w:pPr>
        <w:keepNext w:val="0"/>
        <w:keepLines w:val="0"/>
        <w:pageBreakBefore w:val="0"/>
        <w:widowControl w:val="0"/>
        <w:kinsoku/>
        <w:wordWrap/>
        <w:overflowPunct/>
        <w:topLinePunct w:val="0"/>
        <w:autoSpaceDE/>
        <w:autoSpaceDN/>
        <w:bidi w:val="0"/>
        <w:adjustRightInd/>
        <w:snapToGrid/>
        <w:spacing w:before="40" w:after="40" w:line="32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一、评标办法</w:t>
      </w:r>
    </w:p>
    <w:p w14:paraId="1ED74E8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（一）本项目采用综合评分法。评审小组对满足询比采购文件全部实质性要求的响应文件，按照本评分标准确定的评分因素和评分标准独立打分，按评审总得分由高到低顺序推荐成交候选人。</w:t>
      </w:r>
    </w:p>
    <w:p w14:paraId="18EA9E40">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（二）评审小组由采购人按有关规定组建，成员人数为3人（含）以上单数；与供应商有利害关系的人员应当回避。</w:t>
      </w:r>
    </w:p>
    <w:p w14:paraId="44D8C4B5">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（三）成交候选人推荐原则。</w:t>
      </w:r>
    </w:p>
    <w:p w14:paraId="4B91E12C">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cs="宋体"/>
          <w:b w:val="0"/>
          <w:bCs w:val="0"/>
          <w:sz w:val="24"/>
          <w:szCs w:val="24"/>
          <w:lang w:eastAsia="zh-CN"/>
        </w:rPr>
        <w:t>1.</w:t>
      </w:r>
      <w:r>
        <w:rPr>
          <w:rFonts w:hint="eastAsia" w:ascii="宋体" w:hAnsi="宋体" w:eastAsia="宋体" w:cs="宋体"/>
          <w:b w:val="0"/>
          <w:bCs w:val="0"/>
          <w:sz w:val="24"/>
          <w:szCs w:val="24"/>
        </w:rPr>
        <w:t>评审小组将根据综合得分由高到低排列次序（评审结果按评审后得分由高到低顺序排列；得分相同的，按报价由低到高顺序排列；得分且报价相同的并列），推荐1至3名成交候选人并标明排序。成交候选人并列的，以其中技术分得分最高的供应商获得成交候选人推荐资格；技术分得分仍相同的，以其中商务分得分最高的供应商获得成交候选人推荐资格；上述均相同的，由评审小组记名投票确定排序。</w:t>
      </w:r>
    </w:p>
    <w:p w14:paraId="39505AD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cs="宋体"/>
          <w:b w:val="0"/>
          <w:bCs w:val="0"/>
          <w:sz w:val="24"/>
          <w:szCs w:val="24"/>
          <w:lang w:eastAsia="zh-CN"/>
        </w:rPr>
        <w:t>2.</w:t>
      </w:r>
      <w:r>
        <w:rPr>
          <w:rFonts w:hint="eastAsia" w:ascii="宋体" w:hAnsi="宋体" w:eastAsia="宋体" w:cs="宋体"/>
          <w:b w:val="0"/>
          <w:bCs w:val="0"/>
          <w:sz w:val="24"/>
          <w:szCs w:val="24"/>
        </w:rPr>
        <w:t>评审小组按排序推荐1至3名成交候选人并标明排序。采购人确定排名第一的成交候选人为成交供应商；排名第一的候选人放弃成交、因不可抗力不能履行合同、未按要求提交履约担保（如有）或被查实存在影响成交结果违法行为的，采购人可以确定排名第二的候选人为成交供应商，以此类推；采购人也可以决定重新采购。</w:t>
      </w:r>
    </w:p>
    <w:p w14:paraId="3D4A2DA7">
      <w:pPr>
        <w:keepNext w:val="0"/>
        <w:keepLines w:val="0"/>
        <w:pageBreakBefore w:val="0"/>
        <w:widowControl w:val="0"/>
        <w:kinsoku/>
        <w:wordWrap/>
        <w:overflowPunct/>
        <w:topLinePunct w:val="0"/>
        <w:autoSpaceDE/>
        <w:autoSpaceDN/>
        <w:bidi w:val="0"/>
        <w:adjustRightInd/>
        <w:snapToGrid/>
        <w:spacing w:before="200" w:after="100"/>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二、评分标准</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0"/>
        <w:gridCol w:w="1650"/>
        <w:gridCol w:w="620"/>
        <w:gridCol w:w="6196"/>
      </w:tblGrid>
      <w:tr w14:paraId="774F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60"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0A3241A4">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序号</w:t>
            </w:r>
          </w:p>
        </w:tc>
        <w:tc>
          <w:tcPr>
            <w:tcW w:w="1650"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483D3A71">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评分项目</w:t>
            </w:r>
          </w:p>
        </w:tc>
        <w:tc>
          <w:tcPr>
            <w:tcW w:w="620"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6479285E">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分值</w:t>
            </w:r>
          </w:p>
        </w:tc>
        <w:tc>
          <w:tcPr>
            <w:tcW w:w="6196" w:type="dxa"/>
            <w:tcBorders>
              <w:top w:val="single" w:color="000000" w:sz="4" w:space="0"/>
              <w:left w:val="single" w:color="000000" w:sz="4" w:space="0"/>
              <w:bottom w:val="single" w:color="000000" w:sz="4" w:space="0"/>
              <w:right w:val="single" w:color="000000" w:sz="4" w:space="0"/>
            </w:tcBorders>
            <w:shd w:val="clear" w:color="auto" w:fill="DCE6F1"/>
            <w:tcMar>
              <w:top w:w="60" w:type="dxa"/>
              <w:left w:w="100" w:type="dxa"/>
              <w:bottom w:w="60" w:type="dxa"/>
              <w:right w:w="100" w:type="dxa"/>
            </w:tcMar>
            <w:vAlign w:val="center"/>
          </w:tcPr>
          <w:p w14:paraId="2643BA1B">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评审内容及评分标准</w:t>
            </w:r>
          </w:p>
        </w:tc>
      </w:tr>
      <w:tr w14:paraId="2D12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4"/>
            <w:tcBorders>
              <w:top w:val="single" w:color="000000" w:sz="4" w:space="0"/>
              <w:left w:val="single" w:color="000000" w:sz="4" w:space="0"/>
              <w:bottom w:val="single" w:color="000000" w:sz="4" w:space="0"/>
              <w:right w:val="single" w:color="000000" w:sz="4" w:space="0"/>
            </w:tcBorders>
            <w:shd w:val="clear" w:color="auto" w:fill="F2F2F2"/>
            <w:tcMar>
              <w:top w:w="60" w:type="dxa"/>
              <w:left w:w="100" w:type="dxa"/>
              <w:bottom w:w="60" w:type="dxa"/>
              <w:right w:w="100" w:type="dxa"/>
            </w:tcMar>
            <w:vAlign w:val="center"/>
          </w:tcPr>
          <w:p w14:paraId="51A237F3">
            <w:pPr>
              <w:spacing w:before="20" w:after="20" w:line="300" w:lineRule="auto"/>
              <w:rPr>
                <w:rFonts w:hint="eastAsia" w:ascii="宋体" w:hAnsi="宋体" w:eastAsia="宋体" w:cs="宋体"/>
                <w:sz w:val="24"/>
                <w:szCs w:val="24"/>
              </w:rPr>
            </w:pPr>
            <w:r>
              <w:rPr>
                <w:rFonts w:hint="eastAsia" w:ascii="宋体" w:hAnsi="宋体" w:cs="宋体"/>
                <w:b/>
                <w:bCs/>
                <w:sz w:val="24"/>
                <w:szCs w:val="24"/>
                <w:lang w:eastAsia="zh-CN"/>
              </w:rPr>
              <w:t>1.</w:t>
            </w:r>
            <w:r>
              <w:rPr>
                <w:rFonts w:hint="eastAsia" w:ascii="宋体" w:hAnsi="宋体" w:eastAsia="宋体" w:cs="宋体"/>
                <w:b/>
                <w:bCs/>
                <w:sz w:val="24"/>
                <w:szCs w:val="24"/>
              </w:rPr>
              <w:t>价格分　30分</w:t>
            </w:r>
          </w:p>
        </w:tc>
      </w:tr>
      <w:tr w14:paraId="4B86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819EE0C">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1</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B28560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报价得分</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4E4161F">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30</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49AFBF9">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（1）有效报价范围：报价低于或等于最高限价（人民币40,000元），且通过资格评审的报价。报价超过最高限价的响应文件作否决处理。</w:t>
            </w:r>
          </w:p>
          <w:p w14:paraId="44402A57">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（2）评审基准价：所有有效报价去掉一个最高报价和一个最低报价后的算术平均值为基准价；通过初步审查的报价人少于5家（含5家）的，不去最高和最低报价。</w:t>
            </w:r>
          </w:p>
          <w:p w14:paraId="667494AE">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（3）报价得分计算公式：F1＝F－∣D1－D∣÷D×100。式中：F1＝报价人报价得分；F＝价格分所占分值，F＝30；D1＝报价人的报价；D＝评审基准价。</w:t>
            </w:r>
          </w:p>
          <w:p w14:paraId="70CD1513">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（4）一般情况下报价得分保留两位小数；当保留两位小数无法区分得分高低时，可顺延小数位数取值，直至可区分高低为止。</w:t>
            </w:r>
          </w:p>
          <w:p w14:paraId="74C16F21">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（5）报价明显低于其他有效报价且可能影响服务质量或不能诚信履约的，评审小组可要求供应商限期提供书面说明及证明材料，不能证明报价合理性的，按无效响应处理。</w:t>
            </w:r>
          </w:p>
        </w:tc>
      </w:tr>
      <w:tr w14:paraId="40F0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4"/>
            <w:tcBorders>
              <w:top w:val="single" w:color="000000" w:sz="4" w:space="0"/>
              <w:left w:val="single" w:color="000000" w:sz="4" w:space="0"/>
              <w:bottom w:val="single" w:color="000000" w:sz="4" w:space="0"/>
              <w:right w:val="single" w:color="000000" w:sz="4" w:space="0"/>
            </w:tcBorders>
            <w:shd w:val="clear" w:color="auto" w:fill="F2F2F2"/>
            <w:tcMar>
              <w:top w:w="60" w:type="dxa"/>
              <w:left w:w="100" w:type="dxa"/>
              <w:bottom w:w="60" w:type="dxa"/>
              <w:right w:w="100" w:type="dxa"/>
            </w:tcMar>
            <w:vAlign w:val="center"/>
          </w:tcPr>
          <w:p w14:paraId="4453F5F9">
            <w:pPr>
              <w:spacing w:before="20" w:after="20" w:line="300" w:lineRule="auto"/>
              <w:rPr>
                <w:rFonts w:hint="eastAsia" w:ascii="宋体" w:hAnsi="宋体" w:eastAsia="宋体" w:cs="宋体"/>
                <w:sz w:val="24"/>
                <w:szCs w:val="24"/>
              </w:rPr>
            </w:pPr>
            <w:r>
              <w:rPr>
                <w:rFonts w:hint="eastAsia" w:ascii="宋体" w:hAnsi="宋体" w:cs="宋体"/>
                <w:b/>
                <w:bCs/>
                <w:sz w:val="24"/>
                <w:szCs w:val="24"/>
                <w:lang w:eastAsia="zh-CN"/>
              </w:rPr>
              <w:t>2.</w:t>
            </w:r>
            <w:r>
              <w:rPr>
                <w:rFonts w:hint="eastAsia" w:ascii="宋体" w:hAnsi="宋体" w:eastAsia="宋体" w:cs="宋体"/>
                <w:b/>
                <w:bCs/>
                <w:sz w:val="24"/>
                <w:szCs w:val="24"/>
              </w:rPr>
              <w:t>商务分　15分</w:t>
            </w:r>
          </w:p>
        </w:tc>
      </w:tr>
      <w:tr w14:paraId="4A4E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468BD6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2</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EDCD73B">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实施服务商资质要求</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7A32690">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5</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844DD6D">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（1）在广西区内注册有分公司或直属分支机构，或承诺为本项目提供本地化服务团队的（提供证明文件），得</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分；项目组主要成员提供本地社保证明（最近半年内连续三个月），10人以下得</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分，10人及以上得</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分；未提供得0分。本小项满分</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分。</w:t>
            </w:r>
          </w:p>
          <w:p w14:paraId="0C8F0AF2">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（2）提供的服务／成果符合《信息安全等级保护管理办法》要求，具备保障系统延续满足等保三级要求的能力并提供相关说明或备案材料，得</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分；未提供得0分。</w:t>
            </w:r>
          </w:p>
        </w:tc>
      </w:tr>
      <w:tr w14:paraId="21A3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940726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3</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1BBB21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信誉要求</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4652E0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2</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490A1A8">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）响应文件递交截止时间前三年内，在“信用中国”网站（www.creditchina.gov.cn）、中国政府采购网（www.ccgp.gov.cn）无失信被执行人、重大税收违法失信主体、政府采购严重违法失信行为记录的，得</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分（以提供查询结果截图并加盖公章为准）。</w:t>
            </w:r>
          </w:p>
        </w:tc>
      </w:tr>
      <w:tr w14:paraId="1067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1E98D91">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4</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77B51CC">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类似项目案例及业绩</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2883F3D">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3</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8C589E0">
            <w:pPr>
              <w:spacing w:before="2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供应商近三年（2023年1月至今，以合同签订时间为准）具有合同管理信息系统、法务管理信息系统或案件管理信息系统的建设、实施或定制开发项目业绩：提供3份及以上有效合同关键页的，得3分；2份的，得2分；1份的，得1分；没有的不得分。</w:t>
            </w:r>
          </w:p>
        </w:tc>
      </w:tr>
      <w:tr w14:paraId="63BF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1AE36A1">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5</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D217CF6">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运维服务费报价优惠</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A722E43">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5</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058284C">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在响应文件中提供免费运维期限及后续每年度运维服务费报价说明与承诺：</w:t>
            </w:r>
          </w:p>
          <w:p w14:paraId="6AAA7C00">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（1）承诺免费运维期不少于1年，且后续每年度运维服务费不超过本项目合同金额5%的，得2分；</w:t>
            </w:r>
          </w:p>
          <w:p w14:paraId="4FF951B7">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（2）承诺免费运维期不少于2年，或后续每年度运维服务费不超过本项目合同金额4%的，得3分；</w:t>
            </w:r>
          </w:p>
          <w:p w14:paraId="469DB74E">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（3）承诺免费运维期不少于3年，且后续每年度运维服务费低于本项目合同金额2%的，得5分；</w:t>
            </w:r>
          </w:p>
          <w:p w14:paraId="46BF3D7A">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未提供运维服务费报价说明及承诺的，本项不得分。</w:t>
            </w:r>
          </w:p>
        </w:tc>
      </w:tr>
      <w:tr w14:paraId="6F91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4"/>
            <w:tcBorders>
              <w:top w:val="single" w:color="000000" w:sz="4" w:space="0"/>
              <w:left w:val="single" w:color="000000" w:sz="4" w:space="0"/>
              <w:bottom w:val="single" w:color="000000" w:sz="4" w:space="0"/>
              <w:right w:val="single" w:color="000000" w:sz="4" w:space="0"/>
            </w:tcBorders>
            <w:shd w:val="clear" w:color="auto" w:fill="F2F2F2"/>
            <w:tcMar>
              <w:top w:w="60" w:type="dxa"/>
              <w:left w:w="100" w:type="dxa"/>
              <w:bottom w:w="60" w:type="dxa"/>
              <w:right w:w="100" w:type="dxa"/>
            </w:tcMar>
            <w:vAlign w:val="center"/>
          </w:tcPr>
          <w:p w14:paraId="56F4B027">
            <w:pPr>
              <w:spacing w:before="20" w:after="20" w:line="300" w:lineRule="auto"/>
              <w:rPr>
                <w:rFonts w:hint="eastAsia" w:ascii="宋体" w:hAnsi="宋体" w:eastAsia="宋体" w:cs="宋体"/>
                <w:sz w:val="24"/>
                <w:szCs w:val="24"/>
              </w:rPr>
            </w:pPr>
            <w:r>
              <w:rPr>
                <w:rFonts w:hint="eastAsia" w:ascii="宋体" w:hAnsi="宋体" w:cs="宋体"/>
                <w:b/>
                <w:bCs/>
                <w:sz w:val="24"/>
                <w:szCs w:val="24"/>
                <w:lang w:eastAsia="zh-CN"/>
              </w:rPr>
              <w:t>3.</w:t>
            </w:r>
            <w:r>
              <w:rPr>
                <w:rFonts w:hint="eastAsia" w:ascii="宋体" w:hAnsi="宋体" w:eastAsia="宋体" w:cs="宋体"/>
                <w:b/>
                <w:bCs/>
                <w:sz w:val="24"/>
                <w:szCs w:val="24"/>
              </w:rPr>
              <w:t>技术分　55分</w:t>
            </w:r>
          </w:p>
        </w:tc>
      </w:tr>
      <w:tr w14:paraId="473A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F2EF811">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6</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BF272F2">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技术方案</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36F1A24">
            <w:pPr>
              <w:spacing w:before="20" w:after="20" w:line="300" w:lineRule="auto"/>
              <w:jc w:val="center"/>
              <w:rPr>
                <w:rFonts w:hint="default" w:ascii="宋体" w:hAnsi="宋体" w:eastAsia="宋体" w:cs="宋体"/>
                <w:sz w:val="24"/>
                <w:szCs w:val="24"/>
                <w:lang w:val="en-US" w:eastAsia="zh-CN"/>
              </w:rPr>
            </w:pPr>
            <w:r>
              <w:rPr>
                <w:rFonts w:hint="eastAsia" w:ascii="宋体" w:hAnsi="宋体" w:eastAsia="宋体" w:cs="宋体"/>
                <w:b w:val="0"/>
                <w:bCs w:val="0"/>
                <w:sz w:val="24"/>
                <w:szCs w:val="24"/>
                <w:lang w:val="en-US" w:eastAsia="zh-CN"/>
              </w:rPr>
              <w:t>30</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EEB0F50">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提供与本项目规模、应用深度及技术要求相适应的技术方案，包括系统环境配置、合同表单开发、审批流程配置、与集团公司合同管理系统数据融合、与现有办公平台（综合办公系统）集成、历史数据迁移补录、子企业数据独立性与安全隔离等内容。</w:t>
            </w:r>
          </w:p>
          <w:p w14:paraId="01DFB06A">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一档（5分）：不能满足采购需求全部功能要求，技术方案结构完整，但总体内容表述不清晰，缺乏可行性；</w:t>
            </w:r>
          </w:p>
          <w:p w14:paraId="43560679">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二档（10分）：系统功能基本满足采购需求（不满足项少于5项），技术方案完整，有实用性、易用性，有标准化和可扩展性，方案总体描述清晰，具备合理性及可行性；</w:t>
            </w:r>
          </w:p>
          <w:p w14:paraId="63AF9100">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三档（25分）：系统功能完全满足采购需求，技术方案完整，具备实用性、易用性，标准化、模块化程度完全满足采购文件要求，具有开放性和可扩展性，能与集团公司现有合同管理系统及采购人目前使用的协同办公系统互联互通、实现统一化管理，能充分满足采购人当前和未来发展的使用需求。</w:t>
            </w:r>
          </w:p>
        </w:tc>
      </w:tr>
      <w:tr w14:paraId="0F9C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49D61B6">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7</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BA392E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实施方案</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F397C74">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15</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509181C">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可根据项目实际需求，制定严格的实施方案，严格按照实施要求制定相应计划和保障措施。</w:t>
            </w:r>
          </w:p>
          <w:p w14:paraId="2847CF8F">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一档（5分）：提供了项目实施及管理方案，但方案总体描述过于简单或表述内容不清晰，缺乏可行性；</w:t>
            </w:r>
          </w:p>
          <w:p w14:paraId="2786B847">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二档（10分）：项目实施及管理方案详细，有实施计划、组织方案、人员培训、进度安排等方面的描述，方案总体描述清晰，具有可行性；</w:t>
            </w:r>
          </w:p>
          <w:p w14:paraId="373468A2">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三档（15分）：项目实施及管理方案详细，需求调研、环境配置、表单与流程开发、数据融合、功能测试、用户培训、上线支持等实施计划、组织方案、人员培训、进度安排（含各模块上线及试运行节点）均合理可行，方案总体描述完整、清晰，完全满足采购文件要求，同时能为本项目提供本地化实施服务（包含运维服务、二次开发支持等，并提供人员本地社保证明或驻场承诺）。</w:t>
            </w:r>
          </w:p>
        </w:tc>
      </w:tr>
      <w:tr w14:paraId="223F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F1F614C">
            <w:pPr>
              <w:spacing w:before="20" w:after="20" w:line="300" w:lineRule="auto"/>
              <w:jc w:val="center"/>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8</w:t>
            </w:r>
          </w:p>
        </w:tc>
        <w:tc>
          <w:tcPr>
            <w:tcW w:w="165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2F3998A">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售后服务方案</w:t>
            </w:r>
          </w:p>
        </w:tc>
        <w:tc>
          <w:tcPr>
            <w:tcW w:w="62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0449D36">
            <w:pPr>
              <w:spacing w:before="20" w:after="20" w:line="300" w:lineRule="auto"/>
              <w:jc w:val="center"/>
              <w:rPr>
                <w:rFonts w:hint="eastAsia" w:ascii="宋体" w:hAnsi="宋体" w:eastAsia="宋体" w:cs="宋体"/>
                <w:sz w:val="24"/>
                <w:szCs w:val="24"/>
              </w:rPr>
            </w:pPr>
            <w:r>
              <w:rPr>
                <w:rFonts w:hint="eastAsia" w:ascii="宋体" w:hAnsi="宋体" w:eastAsia="宋体" w:cs="宋体"/>
                <w:b w:val="0"/>
                <w:bCs w:val="0"/>
                <w:sz w:val="24"/>
                <w:szCs w:val="24"/>
              </w:rPr>
              <w:t>10</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CFD12FD">
            <w:pPr>
              <w:spacing w:before="2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一档（3分）：服务承诺基本符合采购文件要求，售后服务承诺书中各项措施缺乏针对性，提供的内容对采购单位使用需求响应的具体措施缺乏充分的合理性，效率响应性承诺或实现方式仅能满足项目基本需求；</w:t>
            </w:r>
          </w:p>
          <w:p w14:paraId="42C1E1FA">
            <w:pPr>
              <w:spacing w:before="10" w:after="1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二档（5分）：服务承诺符合采购文件要求，售后服务方案具体细致，在满足一档的基础上，对采购文件的基本要求进行了全面细化，各项措施针对采购单位需求提出，考虑到了项目实际需求、设置合理；</w:t>
            </w:r>
          </w:p>
          <w:p w14:paraId="74DF25D2">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三档（10分）：服务承诺优于采购文件要求，有可靠的服务响应体系，售后服务方案内容完整、响应快速及时高效，且在南宁本地具备服务网点或承诺本地化服务响应；售后服务方案周密，售后服务承诺书条款对采购单位、采购项目的特点均有针对性，服务宗旨明确、服务方案设计充分合理、响应机制充分满足使用需求，后续跟踪服务具体到位。</w:t>
            </w:r>
          </w:p>
        </w:tc>
      </w:tr>
      <w:tr w14:paraId="727F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30" w:type="dxa"/>
            <w:gridSpan w:val="3"/>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1BCCA59">
            <w:pPr>
              <w:spacing w:before="20" w:after="20" w:line="300" w:lineRule="auto"/>
              <w:jc w:val="center"/>
              <w:rPr>
                <w:rFonts w:hint="eastAsia" w:ascii="宋体" w:hAnsi="宋体" w:eastAsia="宋体" w:cs="宋体"/>
                <w:sz w:val="24"/>
                <w:szCs w:val="24"/>
              </w:rPr>
            </w:pPr>
            <w:r>
              <w:rPr>
                <w:rFonts w:hint="eastAsia" w:ascii="宋体" w:hAnsi="宋体" w:eastAsia="宋体" w:cs="宋体"/>
                <w:b/>
                <w:bCs/>
                <w:sz w:val="24"/>
                <w:szCs w:val="24"/>
              </w:rPr>
              <w:t>总得分</w:t>
            </w:r>
          </w:p>
        </w:tc>
        <w:tc>
          <w:tcPr>
            <w:tcW w:w="619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6992124">
            <w:pPr>
              <w:spacing w:before="10" w:after="20" w:line="300" w:lineRule="auto"/>
              <w:jc w:val="both"/>
              <w:rPr>
                <w:rFonts w:hint="eastAsia" w:ascii="宋体" w:hAnsi="宋体" w:eastAsia="宋体" w:cs="宋体"/>
                <w:sz w:val="24"/>
                <w:szCs w:val="24"/>
              </w:rPr>
            </w:pPr>
            <w:r>
              <w:rPr>
                <w:rFonts w:hint="eastAsia" w:ascii="宋体" w:hAnsi="宋体" w:eastAsia="宋体" w:cs="宋体"/>
                <w:b w:val="0"/>
                <w:bCs w:val="0"/>
                <w:sz w:val="24"/>
                <w:szCs w:val="24"/>
              </w:rPr>
              <w:t>总得分＝价格分＋商务分＋技术分，满分100分。</w:t>
            </w:r>
          </w:p>
        </w:tc>
      </w:tr>
    </w:tbl>
    <w:p w14:paraId="03F3D512">
      <w:pPr>
        <w:keepNext w:val="0"/>
        <w:keepLines w:val="0"/>
        <w:pageBreakBefore w:val="0"/>
        <w:widowControl w:val="0"/>
        <w:kinsoku/>
        <w:wordWrap/>
        <w:overflowPunct/>
        <w:topLinePunct w:val="0"/>
        <w:autoSpaceDE/>
        <w:autoSpaceDN/>
        <w:bidi w:val="0"/>
        <w:adjustRightInd/>
        <w:snapToGrid/>
        <w:spacing w:before="200" w:after="100"/>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三、无效响应（否决）情形</w:t>
      </w:r>
    </w:p>
    <w:p w14:paraId="26B6A2A0">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响应文件有下列情形之一的，由评审小组按无效响应处理：</w:t>
      </w:r>
    </w:p>
    <w:p w14:paraId="21999BA3">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（一）报价超过最高限价人民币40,000元的；</w:t>
      </w:r>
    </w:p>
    <w:p w14:paraId="2A94DBFF">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（二）响应文件载明的工期、服务范围、服务内容、质量承诺等不满足询比采购文件要求的；</w:t>
      </w:r>
    </w:p>
    <w:p w14:paraId="56012DD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（三）响应文件含有采购人不能接受的附加条件，或报价存在缺项、漏项且影响履约的；</w:t>
      </w:r>
    </w:p>
    <w:p w14:paraId="3DC0DD30">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（四）提供虚假材料、串通响应或以其他不正当手段影响评审公正性的；</w:t>
      </w:r>
    </w:p>
    <w:p w14:paraId="3C26353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（五）响应文件未按采购文件要求编制、签署、盖章并在截止时间前递交，资格性审查或符合性审查资料（营业执照等主体资格证明、信用查询记录、法定代表人身份证明或授权委托书等）不齐全或无效的；</w:t>
      </w:r>
    </w:p>
    <w:p w14:paraId="72A57F8E">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（六）投标报价供应商</w:t>
      </w:r>
      <w:r>
        <w:rPr>
          <w:rFonts w:hint="eastAsia" w:ascii="宋体" w:hAnsi="宋体" w:eastAsia="宋体" w:cs="宋体"/>
          <w:b w:val="0"/>
          <w:bCs w:val="0"/>
          <w:sz w:val="24"/>
          <w:szCs w:val="24"/>
          <w:lang w:eastAsia="zh-CN"/>
        </w:rPr>
        <w:t>无法</w:t>
      </w:r>
      <w:r>
        <w:rPr>
          <w:rFonts w:hint="eastAsia" w:ascii="宋体" w:hAnsi="宋体" w:eastAsia="宋体" w:cs="宋体"/>
          <w:b w:val="0"/>
          <w:bCs w:val="0"/>
          <w:sz w:val="24"/>
          <w:szCs w:val="24"/>
        </w:rPr>
        <w:t>出具现有系统厂商（北京致远互联软件股份有限公司）开具的投标授权函</w:t>
      </w:r>
      <w:r>
        <w:rPr>
          <w:rFonts w:hint="eastAsia" w:ascii="宋体" w:hAnsi="宋体" w:eastAsia="宋体" w:cs="宋体"/>
          <w:b w:val="0"/>
          <w:bCs w:val="0"/>
          <w:sz w:val="24"/>
          <w:szCs w:val="24"/>
          <w:lang w:eastAsia="zh-CN"/>
        </w:rPr>
        <w:t>的；</w:t>
      </w:r>
    </w:p>
    <w:p w14:paraId="19EC205D">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lang w:eastAsia="zh-CN"/>
        </w:rPr>
        <w:t>（七）</w:t>
      </w:r>
      <w:r>
        <w:rPr>
          <w:rFonts w:hint="eastAsia" w:ascii="宋体" w:hAnsi="宋体" w:eastAsia="宋体" w:cs="宋体"/>
          <w:b w:val="0"/>
          <w:bCs w:val="0"/>
          <w:sz w:val="24"/>
          <w:szCs w:val="24"/>
        </w:rPr>
        <w:t>法律、法规、国宏集团采购管理制度及采购文件规定的其他无效情形。</w:t>
      </w:r>
    </w:p>
    <w:p w14:paraId="276F9B0C">
      <w:pPr>
        <w:keepNext w:val="0"/>
        <w:keepLines w:val="0"/>
        <w:pageBreakBefore w:val="0"/>
        <w:widowControl w:val="0"/>
        <w:kinsoku/>
        <w:wordWrap/>
        <w:overflowPunct/>
        <w:topLinePunct w:val="0"/>
        <w:autoSpaceDE/>
        <w:autoSpaceDN/>
        <w:bidi w:val="0"/>
        <w:adjustRightInd/>
        <w:snapToGrid/>
        <w:spacing w:before="200" w:after="100"/>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四、其他说明</w:t>
      </w:r>
    </w:p>
    <w:p w14:paraId="0F91548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（一）供应商应根据本评分标准的内容编制评分导读表（索引表），标明各评分项对应响应内容所在页码；因响应文件内容不完整、编排混乱导致误读、漏读或查找不到相关内容的，由供应商自行承担不利后果。</w:t>
      </w:r>
    </w:p>
    <w:p w14:paraId="6E6282B7">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（二）本评分标准中的证书、业绩、社保证明等材料均须提供复印件并加盖供应商公章，原件备查；未提供或不符合要求的，相应项不得分。</w:t>
      </w:r>
    </w:p>
    <w:p w14:paraId="59B52FBA">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（三）评审小组认为需要供应商澄清、说明或补正的，可以向报价人提出；供应商的澄清、说明或补正不得超出响应文件的范围或者改变响应文件的实质性内容。</w:t>
      </w:r>
    </w:p>
    <w:p w14:paraId="728A4DE4">
      <w:pPr>
        <w:pStyle w:val="2"/>
        <w:rPr>
          <w:rFonts w:hint="eastAsia" w:ascii="宋体" w:hAnsi="宋体" w:eastAsia="宋体" w:cs="宋体"/>
          <w:sz w:val="24"/>
          <w:szCs w:val="24"/>
        </w:rPr>
      </w:pPr>
    </w:p>
    <w:p w14:paraId="04555A2B">
      <w:pPr>
        <w:spacing w:before="40" w:after="40" w:line="32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附：投标文件评分导读表（索引表）</w:t>
      </w:r>
    </w:p>
    <w:tbl>
      <w:tblPr>
        <w:tblStyle w:val="1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832"/>
        <w:gridCol w:w="850"/>
        <w:gridCol w:w="4394"/>
        <w:gridCol w:w="1796"/>
      </w:tblGrid>
      <w:tr w14:paraId="15C8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7B652DAA">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评分类别</w:t>
            </w:r>
          </w:p>
        </w:tc>
        <w:tc>
          <w:tcPr>
            <w:tcW w:w="1832" w:type="dxa"/>
            <w:noWrap w:val="0"/>
            <w:vAlign w:val="center"/>
          </w:tcPr>
          <w:p w14:paraId="1B1F5A88">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评分项</w:t>
            </w:r>
          </w:p>
        </w:tc>
        <w:tc>
          <w:tcPr>
            <w:tcW w:w="850" w:type="dxa"/>
            <w:noWrap w:val="0"/>
            <w:vAlign w:val="center"/>
          </w:tcPr>
          <w:p w14:paraId="23230224">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投标人自评分</w:t>
            </w:r>
          </w:p>
        </w:tc>
        <w:tc>
          <w:tcPr>
            <w:tcW w:w="4394" w:type="dxa"/>
            <w:noWrap w:val="0"/>
            <w:vAlign w:val="center"/>
          </w:tcPr>
          <w:p w14:paraId="230D953E">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投标人自评分说明</w:t>
            </w:r>
          </w:p>
        </w:tc>
        <w:tc>
          <w:tcPr>
            <w:tcW w:w="1796" w:type="dxa"/>
            <w:noWrap w:val="0"/>
            <w:vAlign w:val="center"/>
          </w:tcPr>
          <w:p w14:paraId="433757E2">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相关内容的页码</w:t>
            </w:r>
          </w:p>
        </w:tc>
      </w:tr>
      <w:tr w14:paraId="34B2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restart"/>
            <w:noWrap w:val="0"/>
            <w:vAlign w:val="center"/>
          </w:tcPr>
          <w:p w14:paraId="15AB8EC1">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cs="宋体"/>
                <w:b/>
                <w:bCs/>
                <w:kern w:val="2"/>
                <w:sz w:val="24"/>
                <w:szCs w:val="24"/>
                <w:lang w:val="en-US" w:eastAsia="zh-CN" w:bidi="ar-SA"/>
              </w:rPr>
              <w:t>2.</w:t>
            </w:r>
            <w:r>
              <w:rPr>
                <w:rFonts w:hint="eastAsia" w:ascii="宋体" w:hAnsi="宋体" w:eastAsia="宋体" w:cs="宋体"/>
                <w:b/>
                <w:bCs/>
                <w:kern w:val="2"/>
                <w:sz w:val="24"/>
                <w:szCs w:val="24"/>
                <w:lang w:val="en-US" w:eastAsia="zh-CN" w:bidi="ar-SA"/>
              </w:rPr>
              <w:t>技术分</w:t>
            </w:r>
          </w:p>
        </w:tc>
        <w:tc>
          <w:tcPr>
            <w:tcW w:w="1832" w:type="dxa"/>
            <w:noWrap w:val="0"/>
            <w:vAlign w:val="center"/>
          </w:tcPr>
          <w:p w14:paraId="00B75603">
            <w:pPr>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2.1、……</w:t>
            </w:r>
          </w:p>
        </w:tc>
        <w:tc>
          <w:tcPr>
            <w:tcW w:w="850" w:type="dxa"/>
            <w:noWrap w:val="0"/>
            <w:vAlign w:val="center"/>
          </w:tcPr>
          <w:p w14:paraId="73E0CC4F">
            <w:pPr>
              <w:wordWrap w:val="0"/>
              <w:topLinePunct/>
              <w:snapToGrid w:val="0"/>
              <w:spacing w:before="50" w:after="120" w:afterLines="50"/>
              <w:jc w:val="center"/>
              <w:rPr>
                <w:rFonts w:hint="eastAsia" w:ascii="宋体" w:hAnsi="宋体" w:eastAsia="宋体" w:cs="宋体"/>
                <w:i/>
                <w:kern w:val="2"/>
                <w:sz w:val="24"/>
                <w:szCs w:val="24"/>
                <w:lang w:val="en-US" w:eastAsia="zh-CN" w:bidi="ar-SA"/>
              </w:rPr>
            </w:pPr>
            <w:r>
              <w:rPr>
                <w:rFonts w:hint="eastAsia" w:ascii="宋体" w:hAnsi="宋体" w:eastAsia="宋体" w:cs="宋体"/>
                <w:i/>
                <w:kern w:val="2"/>
                <w:sz w:val="24"/>
                <w:szCs w:val="24"/>
                <w:lang w:val="en-US" w:eastAsia="zh-CN" w:bidi="ar-SA"/>
              </w:rPr>
              <w:t>（填写示范：15分）</w:t>
            </w:r>
          </w:p>
        </w:tc>
        <w:tc>
          <w:tcPr>
            <w:tcW w:w="4394" w:type="dxa"/>
            <w:noWrap w:val="0"/>
            <w:vAlign w:val="center"/>
          </w:tcPr>
          <w:p w14:paraId="7B2EEE1C">
            <w:pPr>
              <w:wordWrap w:val="0"/>
              <w:topLinePunct/>
              <w:snapToGrid w:val="0"/>
              <w:spacing w:before="50" w:after="120" w:afterLines="50"/>
              <w:jc w:val="center"/>
              <w:rPr>
                <w:rFonts w:hint="eastAsia" w:ascii="宋体" w:hAnsi="宋体" w:eastAsia="宋体" w:cs="宋体"/>
                <w:i/>
                <w:kern w:val="2"/>
                <w:sz w:val="24"/>
                <w:szCs w:val="24"/>
                <w:lang w:val="en-US" w:eastAsia="zh-CN" w:bidi="ar-SA"/>
              </w:rPr>
            </w:pPr>
            <w:r>
              <w:rPr>
                <w:rFonts w:hint="eastAsia" w:ascii="宋体" w:hAnsi="宋体" w:eastAsia="宋体" w:cs="宋体"/>
                <w:i/>
                <w:kern w:val="2"/>
                <w:sz w:val="24"/>
                <w:szCs w:val="24"/>
                <w:lang w:val="en-US" w:eastAsia="zh-CN" w:bidi="ar-SA"/>
              </w:rPr>
              <w:t>（填写示范：有1项负偏离）</w:t>
            </w:r>
          </w:p>
        </w:tc>
        <w:tc>
          <w:tcPr>
            <w:tcW w:w="1796" w:type="dxa"/>
            <w:noWrap w:val="0"/>
            <w:vAlign w:val="center"/>
          </w:tcPr>
          <w:p w14:paraId="23EE3269">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eastAsia="宋体" w:cs="宋体"/>
                <w:i/>
                <w:kern w:val="2"/>
                <w:sz w:val="24"/>
                <w:szCs w:val="24"/>
                <w:lang w:val="en-US" w:eastAsia="zh-CN" w:bidi="ar-SA"/>
              </w:rPr>
              <w:t>（填写示范：响应表页码：P20-P30；1项负偏离在P24）</w:t>
            </w:r>
          </w:p>
        </w:tc>
      </w:tr>
      <w:tr w14:paraId="32AD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6F7E0D65">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0A7E1C78">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2.2、……</w:t>
            </w:r>
          </w:p>
        </w:tc>
        <w:tc>
          <w:tcPr>
            <w:tcW w:w="850" w:type="dxa"/>
            <w:noWrap w:val="0"/>
            <w:vAlign w:val="center"/>
          </w:tcPr>
          <w:p w14:paraId="444EF7C1">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7DFA9E1F">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04F799FD">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3673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07B1CB6D">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4E32AAE0">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w:t>
            </w:r>
          </w:p>
        </w:tc>
        <w:tc>
          <w:tcPr>
            <w:tcW w:w="850" w:type="dxa"/>
            <w:noWrap w:val="0"/>
            <w:vAlign w:val="center"/>
          </w:tcPr>
          <w:p w14:paraId="71B01727">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6492F135">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78B6DDBB">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62B9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5B5FFFA0">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4E0414CD">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w:t>
            </w:r>
          </w:p>
        </w:tc>
        <w:tc>
          <w:tcPr>
            <w:tcW w:w="850" w:type="dxa"/>
            <w:noWrap w:val="0"/>
            <w:vAlign w:val="center"/>
          </w:tcPr>
          <w:p w14:paraId="0BC25A50">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313E915C">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7E2485C7">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38AE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restart"/>
            <w:noWrap w:val="0"/>
            <w:vAlign w:val="center"/>
          </w:tcPr>
          <w:p w14:paraId="6D18ED29">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r>
              <w:rPr>
                <w:rFonts w:hint="eastAsia" w:ascii="宋体" w:hAnsi="宋体" w:cs="宋体"/>
                <w:b/>
                <w:bCs/>
                <w:kern w:val="2"/>
                <w:sz w:val="24"/>
                <w:szCs w:val="24"/>
                <w:lang w:val="en-US" w:eastAsia="zh-CN" w:bidi="ar-SA"/>
              </w:rPr>
              <w:t>3.</w:t>
            </w:r>
            <w:r>
              <w:rPr>
                <w:rFonts w:hint="eastAsia" w:ascii="宋体" w:hAnsi="宋体" w:eastAsia="宋体" w:cs="宋体"/>
                <w:b/>
                <w:bCs/>
                <w:kern w:val="2"/>
                <w:sz w:val="24"/>
                <w:szCs w:val="24"/>
                <w:lang w:val="en-US" w:eastAsia="zh-CN" w:bidi="ar-SA"/>
              </w:rPr>
              <w:t>商务分</w:t>
            </w:r>
          </w:p>
        </w:tc>
        <w:tc>
          <w:tcPr>
            <w:tcW w:w="1832" w:type="dxa"/>
            <w:noWrap w:val="0"/>
            <w:vAlign w:val="center"/>
          </w:tcPr>
          <w:p w14:paraId="68452A83">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bCs/>
                <w:kern w:val="2"/>
                <w:sz w:val="24"/>
                <w:szCs w:val="24"/>
                <w:lang w:val="en-US" w:eastAsia="zh-CN" w:bidi="ar-SA"/>
              </w:rPr>
              <w:t>3.1、</w:t>
            </w:r>
            <w:r>
              <w:rPr>
                <w:rFonts w:hint="eastAsia" w:ascii="宋体" w:hAnsi="宋体" w:eastAsia="宋体" w:cs="宋体"/>
                <w:b/>
                <w:kern w:val="2"/>
                <w:sz w:val="24"/>
                <w:szCs w:val="24"/>
                <w:lang w:val="en-US" w:eastAsia="zh-CN" w:bidi="ar-SA"/>
              </w:rPr>
              <w:t>……</w:t>
            </w:r>
          </w:p>
        </w:tc>
        <w:tc>
          <w:tcPr>
            <w:tcW w:w="850" w:type="dxa"/>
            <w:noWrap w:val="0"/>
            <w:vAlign w:val="center"/>
          </w:tcPr>
          <w:p w14:paraId="0C9DFE94">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6C720887">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4C6F6F00">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24FA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1CF48748">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1504EE35">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3.2、……</w:t>
            </w:r>
          </w:p>
        </w:tc>
        <w:tc>
          <w:tcPr>
            <w:tcW w:w="850" w:type="dxa"/>
            <w:noWrap w:val="0"/>
            <w:vAlign w:val="center"/>
          </w:tcPr>
          <w:p w14:paraId="7EC773BE">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2A5CA832">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43D39D15">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11F1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51C7C114">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7FD57B08">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w:t>
            </w:r>
          </w:p>
        </w:tc>
        <w:tc>
          <w:tcPr>
            <w:tcW w:w="850" w:type="dxa"/>
            <w:noWrap w:val="0"/>
            <w:vAlign w:val="center"/>
          </w:tcPr>
          <w:p w14:paraId="5A25033C">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1DCD7E9A">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51F7FDDC">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r w14:paraId="6F0B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Merge w:val="continue"/>
            <w:noWrap w:val="0"/>
            <w:vAlign w:val="center"/>
          </w:tcPr>
          <w:p w14:paraId="0A490F31">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832" w:type="dxa"/>
            <w:noWrap w:val="0"/>
            <w:vAlign w:val="center"/>
          </w:tcPr>
          <w:p w14:paraId="4CFB7B97">
            <w:pPr>
              <w:wordWrap w:val="0"/>
              <w:topLinePunct/>
              <w:snapToGrid w:val="0"/>
              <w:spacing w:before="50" w:after="120" w:afterLines="50"/>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w:t>
            </w:r>
          </w:p>
        </w:tc>
        <w:tc>
          <w:tcPr>
            <w:tcW w:w="850" w:type="dxa"/>
            <w:noWrap w:val="0"/>
            <w:vAlign w:val="center"/>
          </w:tcPr>
          <w:p w14:paraId="1E6989AF">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4394" w:type="dxa"/>
            <w:noWrap w:val="0"/>
            <w:vAlign w:val="center"/>
          </w:tcPr>
          <w:p w14:paraId="5688982B">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c>
          <w:tcPr>
            <w:tcW w:w="1796" w:type="dxa"/>
            <w:noWrap w:val="0"/>
            <w:vAlign w:val="center"/>
          </w:tcPr>
          <w:p w14:paraId="715F68C2">
            <w:pPr>
              <w:wordWrap w:val="0"/>
              <w:topLinePunct/>
              <w:snapToGrid w:val="0"/>
              <w:spacing w:before="50" w:after="120" w:afterLines="50"/>
              <w:jc w:val="center"/>
              <w:rPr>
                <w:rFonts w:hint="eastAsia" w:ascii="宋体" w:hAnsi="宋体" w:eastAsia="宋体" w:cs="宋体"/>
                <w:b/>
                <w:kern w:val="2"/>
                <w:sz w:val="24"/>
                <w:szCs w:val="24"/>
                <w:lang w:val="en-US" w:eastAsia="zh-CN" w:bidi="ar-SA"/>
              </w:rPr>
            </w:pPr>
          </w:p>
        </w:tc>
      </w:tr>
    </w:tbl>
    <w:p w14:paraId="19E37D9F">
      <w:pPr>
        <w:snapToGrid w:val="0"/>
        <w:spacing w:before="50" w:after="120" w:afterLines="50"/>
        <w:rPr>
          <w:rFonts w:hint="eastAsia" w:ascii="宋体" w:hAnsi="宋体" w:eastAsia="宋体" w:cs="宋体"/>
          <w:kern w:val="2"/>
          <w:sz w:val="24"/>
          <w:szCs w:val="24"/>
          <w:highlight w:val="red"/>
          <w:lang w:val="en-US" w:eastAsia="zh-CN" w:bidi="ar-SA"/>
        </w:rPr>
      </w:pPr>
    </w:p>
    <w:p w14:paraId="37C8CADF">
      <w:pPr>
        <w:snapToGrid w:val="0"/>
        <w:spacing w:before="50" w:after="120" w:afterLines="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注：</w:t>
      </w:r>
    </w:p>
    <w:p w14:paraId="20D88848">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1.以上格式文本仅供参考。投标人应根据本采购文件“第四章 评标办法及评分标准”的内容制作该表，导读表中应标明各评分项所对应投标文件中相关内容的页码，凡投标文件内容不完整、编排混乱导致投标文件被误读、漏读或者查找不到相关内容的，是投标人的责任；</w:t>
      </w:r>
    </w:p>
    <w:p w14:paraId="53E58BA1">
      <w:pPr>
        <w:keepNext w:val="0"/>
        <w:keepLines w:val="0"/>
        <w:pageBreakBefore w:val="0"/>
        <w:widowControl w:val="0"/>
        <w:kinsoku/>
        <w:wordWrap/>
        <w:overflowPunct/>
        <w:topLinePunct w:val="0"/>
        <w:autoSpaceDE/>
        <w:autoSpaceDN/>
        <w:bidi w:val="0"/>
        <w:adjustRightInd/>
        <w:snapToGrid/>
        <w:spacing w:before="40" w:after="40" w:line="32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2.该导读表内容仅作为方便评审查阅、提高评审效率之用，不作为投标人在该项目评审中的得分依据。</w:t>
      </w:r>
    </w:p>
    <w:p w14:paraId="63A9B93D">
      <w:pPr>
        <w:spacing w:before="40" w:after="40" w:line="320" w:lineRule="auto"/>
        <w:rPr>
          <w:rFonts w:ascii="Times New Roman" w:hAnsi="Times New Roman" w:eastAsia="宋体" w:cs="Times New Roman"/>
          <w:b w:val="0"/>
          <w:bCs w:val="0"/>
          <w:sz w:val="21"/>
          <w:szCs w:val="21"/>
        </w:rPr>
      </w:pP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A22AF">
    <w:pPr>
      <w:jc w:val="center"/>
    </w:pPr>
    <w:r>
      <w:rPr>
        <w:rFonts w:ascii="Times New Roman" w:hAnsi="Times New Roman" w:eastAsia="宋体" w:cs="Times New Roman"/>
        <w:sz w:val="18"/>
        <w:szCs w:val="18"/>
      </w:rPr>
      <w:t xml:space="preserve">第 </w:t>
    </w: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PAGE</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fldChar w:fldCharType="end"/>
    </w:r>
    <w:r>
      <w:rPr>
        <w:rFonts w:ascii="Times New Roman" w:hAnsi="Times New Roman" w:eastAsia="宋体" w:cs="Times New Roman"/>
        <w:sz w:val="18"/>
        <w:szCs w:val="18"/>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4D3F2"/>
    <w:multiLevelType w:val="singleLevel"/>
    <w:tmpl w:val="88F4D3F2"/>
    <w:lvl w:ilvl="0" w:tentative="0">
      <w:start w:val="1"/>
      <w:numFmt w:val="decimal"/>
      <w:suff w:val="nothing"/>
      <w:lvlText w:val="%1、"/>
      <w:lvlJc w:val="left"/>
    </w:lvl>
  </w:abstractNum>
  <w:abstractNum w:abstractNumId="1">
    <w:nsid w:val="43A358F5"/>
    <w:multiLevelType w:val="singleLevel"/>
    <w:tmpl w:val="43A358F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trackRevisions w:val="1"/>
  <w:documentProtection w:enforcement="0"/>
  <w:compat>
    <w:useFELayout/>
    <w:compatSetting w:name="compatibilityMode" w:uri="http://schemas.microsoft.com/office/word" w:val="15"/>
  </w:compat>
  <w:rsids>
    <w:rsidRoot w:val="00000000"/>
    <w:rsid w:val="0FDBF02C"/>
    <w:rsid w:val="176F9F1C"/>
    <w:rsid w:val="37BD78C9"/>
    <w:rsid w:val="3BFD34B4"/>
    <w:rsid w:val="3CFF53A2"/>
    <w:rsid w:val="3D3EDC8D"/>
    <w:rsid w:val="3DED111A"/>
    <w:rsid w:val="47A63588"/>
    <w:rsid w:val="593F5786"/>
    <w:rsid w:val="5D003E40"/>
    <w:rsid w:val="5E5CDBCA"/>
    <w:rsid w:val="6C592D9C"/>
    <w:rsid w:val="6F4E4E6E"/>
    <w:rsid w:val="6F5D01C8"/>
    <w:rsid w:val="79DC494D"/>
    <w:rsid w:val="79DD1CB1"/>
    <w:rsid w:val="7AEF348E"/>
    <w:rsid w:val="7D9F2105"/>
    <w:rsid w:val="7DFF8313"/>
    <w:rsid w:val="7F8BDCED"/>
    <w:rsid w:val="7F9FD43D"/>
    <w:rsid w:val="7FD6F3B5"/>
    <w:rsid w:val="7FF70669"/>
    <w:rsid w:val="98E998DC"/>
    <w:rsid w:val="BEBF5E7E"/>
    <w:rsid w:val="BFEEAD45"/>
    <w:rsid w:val="BFFFCB4D"/>
    <w:rsid w:val="C7EFCEC9"/>
    <w:rsid w:val="D3FBAE68"/>
    <w:rsid w:val="D6E7E9A8"/>
    <w:rsid w:val="D6FF02A0"/>
    <w:rsid w:val="DB7FEE4C"/>
    <w:rsid w:val="E5FFBCB4"/>
    <w:rsid w:val="EF3D3EF6"/>
    <w:rsid w:val="F3AF606A"/>
    <w:rsid w:val="FB565452"/>
    <w:rsid w:val="FD7FB03E"/>
    <w:rsid w:val="FDAF57E5"/>
    <w:rsid w:val="FDC77130"/>
    <w:rsid w:val="FDDF00A6"/>
    <w:rsid w:val="FEFE5A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rPr>
  </w:style>
  <w:style w:type="paragraph" w:styleId="3">
    <w:name w:val="heading 1"/>
    <w:next w:val="1"/>
    <w:link w:val="21"/>
    <w:qFormat/>
    <w:uiPriority w:val="0"/>
    <w:rPr>
      <w:rFonts w:ascii="Times New Roman" w:hAnsi="Times New Roman" w:eastAsia="宋体" w:cs="Times New Roman"/>
      <w:color w:val="2E74B5"/>
      <w:sz w:val="32"/>
      <w:szCs w:val="32"/>
    </w:rPr>
  </w:style>
  <w:style w:type="paragraph" w:styleId="4">
    <w:name w:val="heading 2"/>
    <w:next w:val="1"/>
    <w:qFormat/>
    <w:uiPriority w:val="0"/>
    <w:rPr>
      <w:rFonts w:ascii="Times New Roman" w:hAnsi="Times New Roman" w:eastAsia="宋体" w:cs="Times New Roman"/>
      <w:color w:val="2E74B5"/>
      <w:sz w:val="26"/>
      <w:szCs w:val="26"/>
    </w:rPr>
  </w:style>
  <w:style w:type="paragraph" w:styleId="5">
    <w:name w:val="heading 3"/>
    <w:next w:val="1"/>
    <w:qFormat/>
    <w:uiPriority w:val="0"/>
    <w:rPr>
      <w:rFonts w:ascii="Times New Roman" w:hAnsi="Times New Roman" w:eastAsia="宋体" w:cs="Times New Roman"/>
      <w:color w:val="1F4D78"/>
      <w:sz w:val="24"/>
      <w:szCs w:val="24"/>
    </w:rPr>
  </w:style>
  <w:style w:type="paragraph" w:styleId="6">
    <w:name w:val="heading 4"/>
    <w:next w:val="1"/>
    <w:qFormat/>
    <w:uiPriority w:val="0"/>
    <w:rPr>
      <w:rFonts w:ascii="Times New Roman" w:hAnsi="Times New Roman" w:eastAsia="宋体" w:cs="Times New Roman"/>
      <w:i/>
      <w:iCs/>
      <w:color w:val="2E74B5"/>
      <w:sz w:val="21"/>
      <w:szCs w:val="21"/>
    </w:rPr>
  </w:style>
  <w:style w:type="paragraph" w:styleId="7">
    <w:name w:val="heading 5"/>
    <w:next w:val="1"/>
    <w:qFormat/>
    <w:uiPriority w:val="0"/>
    <w:rPr>
      <w:rFonts w:ascii="Times New Roman" w:hAnsi="Times New Roman" w:eastAsia="宋体" w:cs="Times New Roman"/>
      <w:color w:val="2E74B5"/>
      <w:sz w:val="21"/>
      <w:szCs w:val="21"/>
    </w:rPr>
  </w:style>
  <w:style w:type="paragraph" w:styleId="8">
    <w:name w:val="heading 6"/>
    <w:next w:val="1"/>
    <w:qFormat/>
    <w:uiPriority w:val="0"/>
    <w:rPr>
      <w:rFonts w:ascii="Times New Roman" w:hAnsi="Times New Roman" w:eastAsia="宋体" w:cs="Times New Roman"/>
      <w:color w:val="1F4D78"/>
      <w:sz w:val="21"/>
      <w:szCs w:val="21"/>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9">
    <w:name w:val="endnote text"/>
    <w:link w:val="20"/>
    <w:semiHidden/>
    <w:unhideWhenUsed/>
    <w:qFormat/>
    <w:uiPriority w:val="99"/>
    <w:pPr>
      <w:spacing w:after="0" w:line="240" w:lineRule="auto"/>
    </w:pPr>
    <w:rPr>
      <w:rFonts w:ascii="Times New Roman" w:hAnsi="Times New Roman" w:eastAsia="宋体" w:cs="Times New Roman"/>
      <w:sz w:val="20"/>
      <w:szCs w:val="20"/>
    </w:rPr>
  </w:style>
  <w:style w:type="paragraph" w:styleId="10">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1">
    <w:name w:val="footnote text"/>
    <w:link w:val="19"/>
    <w:semiHidden/>
    <w:unhideWhenUsed/>
    <w:qFormat/>
    <w:uiPriority w:val="99"/>
    <w:pPr>
      <w:spacing w:after="0" w:line="240" w:lineRule="auto"/>
    </w:pPr>
    <w:rPr>
      <w:rFonts w:ascii="Times New Roman" w:hAnsi="Times New Roman" w:eastAsia="宋体" w:cs="Times New Roman"/>
      <w:sz w:val="20"/>
      <w:szCs w:val="20"/>
    </w:rPr>
  </w:style>
  <w:style w:type="paragraph" w:styleId="12">
    <w:name w:val="Title"/>
    <w:qFormat/>
    <w:uiPriority w:val="0"/>
    <w:rPr>
      <w:rFonts w:ascii="Times New Roman" w:hAnsi="Times New Roman" w:eastAsia="宋体" w:cs="Times New Roman"/>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rPr>
      <w:rFonts w:ascii="Times New Roman" w:hAnsi="Times New Roman" w:eastAsia="宋体" w:cs="Times New Roman"/>
      <w:sz w:val="21"/>
      <w:szCs w:val="21"/>
    </w:rPr>
  </w:style>
  <w:style w:type="character" w:customStyle="1" w:styleId="19">
    <w:name w:val="Footnote Text Char"/>
    <w:link w:val="11"/>
    <w:semiHidden/>
    <w:unhideWhenUsed/>
    <w:qFormat/>
    <w:uiPriority w:val="99"/>
    <w:rPr>
      <w:sz w:val="20"/>
      <w:szCs w:val="20"/>
    </w:rPr>
  </w:style>
  <w:style w:type="character" w:customStyle="1" w:styleId="20">
    <w:name w:val="Endnote Text Char"/>
    <w:link w:val="9"/>
    <w:semiHidden/>
    <w:unhideWhenUsed/>
    <w:qFormat/>
    <w:uiPriority w:val="99"/>
    <w:rPr>
      <w:sz w:val="20"/>
      <w:szCs w:val="20"/>
    </w:rPr>
  </w:style>
  <w:style w:type="character" w:customStyle="1" w:styleId="21">
    <w:name w:val="标题 1 Char"/>
    <w:link w:val="3"/>
    <w:qFormat/>
    <w:uiPriority w:val="0"/>
    <w:rPr>
      <w:rFonts w:ascii="Times New Roman" w:hAnsi="Times New Roman" w:eastAsia="宋体" w:cs="Times New Roman"/>
      <w:color w:val="2E74B5"/>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5698</Words>
  <Characters>5876</Characters>
  <TotalTime>26</TotalTime>
  <ScaleCrop>false</ScaleCrop>
  <LinksUpToDate>false</LinksUpToDate>
  <CharactersWithSpaces>5999</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2026-09-22T14:39:00Z</dcterms:created>
  <dc:creator>Un-named</dc:creator>
  <cp:lastModifiedBy>李婷婷</cp:lastModifiedBy>
  <dcterms:modified xsi:type="dcterms:W3CDTF">2026-09-24T16:38:24Z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{"Label":"1","ContentProducer":"001191440300708461136T1WFUO","ProduceID":"6be71e54a5cb3bed991368d90213e868-TDcg","ReservedCode1":"{\"Type\":\" TC260PG\",\"Version\":1,\"Bindings\":[{\"Type\":\"soft\",\"AlgID\":\"sm3\",\"Value\":\"2a446b0539495f18ee132b0e4aea8fa75d1beacf384a54d8e16990331254c68f\"},{\"Type\":\"hash\",\"AlgID\":\"sm3\",\"Value\":\"98ef4b5cdcf6b93fc1aa22c1c564893884813a5cddf2d2b4fed2b6ff74a0fdb3\"}],\"PubSD\":[{\"Type\":\"DS\",\"AlgID\":\"sm2\",\"TBSData\":{\"Type\":\"Binding\",\"BType\":\"hash\"},\"Signature\":\"3045022100fd962e586bb877a55c43a1c7d1ba8c464b89d635ab34e5f722a5176809bfe9e002200c531d8ffbe12ec2ddb5c5834d5142095ed278734d15fbb8dd9fb56ad7db2acc\"},{\"Type\":\"PubKey\",\"AlgID\":\"sm2\",\"KeyValue\":\"0407f79b28a17a752b3aae4305c98b48978213832729a2571850b1310b2bc9fe8fee039ccf25ebfeac27502414d9fcef792d777183c98893d226171c2f7a3289a2\"}],\"Extension\":{\"Timestamp\":1789874440,\"KeyVersion\":\"v1-TxLeOmf7bqU223\"}}","ContentPropagator":"001191440300708461136T1WFUO","PropagateID":"6be71e54a5cb3bed991368d90213e868-TDcg","ReservedCode2":"{\"Type\":\" TC260PG\",\"Version\":1,\"Bindings\":[{\"Type\":\"soft\",\"AlgID\":\"sm3\",\"Value\":\"2a446b0539495f18ee132b0e4aea8fa75d1beacf384a54d8e16990331254c68f\"},{\"Type\":\"hash\",\"AlgID\":\"sm3\",\"Value\":\"98ef4b5cdcf6b93fc1aa22c1c564893884813a5cddf2d2b4fed2b6ff74a0fdb3\"}],\"PubSD\":[{\"Type\":\"DS\",\"AlgID\":\"sm2\",\"TBSData\":{\"Type\":\"Binding\",\"BType\":\"hash\"},\"Signature\":\"3046022100af1a7f279f665e25b36c24d9ba89bc3fe9ceca31a2813179ec578fb350435a2a022100b1fca1a7613b633cd6e92937ccf233df7efc21fbde083ac756959a43b2713e24\"},{\"Type\":\"PubKey\",\"AlgID\":\"sm2\",\"KeyValue\":\"0407f79b28a17a752b3aae4305c98b48978213832729a2571850b1310b2bc9fe8fee039ccf25ebfeac27502414d9fcef792d777183c98893d226171c2f7a3289a2\"}],\"Extension\":{\"Timestamp\":1789874440,\"KeyVersion\":\"v1-TxLeOmf7bqU223\"}}"}</vt:lpwstr>
  </property>
  <property fmtid="{D5CDD505-2E9C-101B-9397-08002B2CF9AE}" pid="3" name="KSOProductBuildVer">
    <vt:lpwstr>2052-12.1.2.25882</vt:lpwstr>
  </property>
  <property fmtid="{D5CDD505-2E9C-101B-9397-08002B2CF9AE}" pid="4" name="ICV">
    <vt:lpwstr>1E5BA9912DDDBFBC6857AF6AA389FE69_42</vt:lpwstr>
  </property>
  <property fmtid="{D5CDD505-2E9C-101B-9397-08002B2CF9AE}" pid="5" name="KSOTemplateDocerSaveRecord">
    <vt:lpwstr>eyJoZGlkIjoiNzcxMWE0NTU4ZTVkYmJkYzk0YzBiMTMxNzZiZWZkMDgiLCJ1c2VySWQiOiIxMzYzMjM4Mzg1In0=</vt:lpwstr>
  </property>
</Properties>
</file>